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4B25" w14:textId="3FBC68DE" w:rsidR="009B6805" w:rsidRPr="007D7129" w:rsidRDefault="009B6805" w:rsidP="004C1021">
      <w:pPr>
        <w:spacing w:before="100" w:beforeAutospacing="1" w:after="100" w:afterAutospacing="1"/>
        <w:jc w:val="center"/>
        <w:rPr>
          <w:b/>
          <w:bCs/>
          <w:color w:val="202124"/>
          <w:sz w:val="36"/>
          <w:szCs w:val="36"/>
          <w:lang w:val="pt-BR"/>
        </w:rPr>
      </w:pPr>
      <w:r w:rsidRPr="007D7129">
        <w:rPr>
          <w:b/>
          <w:bCs/>
          <w:noProof/>
          <w:color w:val="202124"/>
          <w:sz w:val="36"/>
          <w:szCs w:val="36"/>
          <w:lang w:bidi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FD3C2" wp14:editId="7D479618">
                <wp:simplePos x="0" y="0"/>
                <wp:positionH relativeFrom="column">
                  <wp:posOffset>2923425</wp:posOffset>
                </wp:positionH>
                <wp:positionV relativeFrom="paragraph">
                  <wp:posOffset>-392834</wp:posOffset>
                </wp:positionV>
                <wp:extent cx="0" cy="771525"/>
                <wp:effectExtent l="0" t="0" r="38100" b="28575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E92CD" id="Conexão ret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-30.95pt" to="230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7D7129">
        <w:rPr>
          <w:b/>
          <w:bCs/>
          <w:noProof/>
          <w:color w:val="202124"/>
          <w:sz w:val="36"/>
          <w:szCs w:val="36"/>
          <w:lang w:bidi="ar-SA"/>
        </w:rPr>
        <w:drawing>
          <wp:anchor distT="0" distB="0" distL="114300" distR="114300" simplePos="0" relativeHeight="251660288" behindDoc="1" locked="0" layoutInCell="1" allowOverlap="1" wp14:anchorId="5DFF6BCB" wp14:editId="0A3FA42E">
            <wp:simplePos x="0" y="0"/>
            <wp:positionH relativeFrom="column">
              <wp:posOffset>2965450</wp:posOffset>
            </wp:positionH>
            <wp:positionV relativeFrom="paragraph">
              <wp:posOffset>-391795</wp:posOffset>
            </wp:positionV>
            <wp:extent cx="853440" cy="740410"/>
            <wp:effectExtent l="0" t="0" r="381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129">
        <w:rPr>
          <w:b/>
          <w:bCs/>
          <w:noProof/>
          <w:color w:val="202124"/>
          <w:sz w:val="36"/>
          <w:szCs w:val="36"/>
          <w:lang w:bidi="ar-SA"/>
        </w:rPr>
        <w:drawing>
          <wp:anchor distT="0" distB="0" distL="114300" distR="114300" simplePos="0" relativeHeight="251659264" behindDoc="1" locked="0" layoutInCell="1" allowOverlap="1" wp14:anchorId="1CBD841A" wp14:editId="6014B16C">
            <wp:simplePos x="0" y="0"/>
            <wp:positionH relativeFrom="column">
              <wp:posOffset>2119746</wp:posOffset>
            </wp:positionH>
            <wp:positionV relativeFrom="paragraph">
              <wp:posOffset>-395490</wp:posOffset>
            </wp:positionV>
            <wp:extent cx="754380" cy="771525"/>
            <wp:effectExtent l="0" t="0" r="762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496BE" w14:textId="429EB45E" w:rsidR="00F34528" w:rsidRPr="00F42249" w:rsidRDefault="00F34528" w:rsidP="004C1021">
      <w:pPr>
        <w:spacing w:before="100" w:beforeAutospacing="1" w:after="100" w:afterAutospacing="1"/>
        <w:jc w:val="center"/>
        <w:rPr>
          <w:b/>
          <w:bCs/>
          <w:sz w:val="36"/>
          <w:szCs w:val="36"/>
          <w:lang w:val="en-US" w:eastAsia="en-GB"/>
        </w:rPr>
      </w:pPr>
      <w:r w:rsidRPr="00F42249">
        <w:rPr>
          <w:b/>
          <w:bCs/>
          <w:color w:val="202124"/>
          <w:sz w:val="36"/>
          <w:szCs w:val="36"/>
          <w:lang w:val="en-US"/>
        </w:rPr>
        <w:t>UNIVERSIDADE EDUARDO MONDLANE</w:t>
      </w:r>
    </w:p>
    <w:p w14:paraId="1599CC40" w14:textId="483D787C" w:rsidR="00F42249" w:rsidRPr="00F42249" w:rsidRDefault="00F42249" w:rsidP="00F42249">
      <w:pPr>
        <w:jc w:val="center"/>
        <w:rPr>
          <w:b/>
          <w:sz w:val="32"/>
          <w:szCs w:val="28"/>
          <w:lang w:val="en-US"/>
        </w:rPr>
      </w:pPr>
      <w:r w:rsidRPr="00F42249">
        <w:rPr>
          <w:b/>
          <w:color w:val="202124"/>
          <w:sz w:val="32"/>
          <w:szCs w:val="28"/>
          <w:lang w:val="en-US"/>
        </w:rPr>
        <w:t xml:space="preserve">CENTER OF EXCELLENCE IN AGRI-FOOD SYSTEMS AND NUTRITION </w:t>
      </w:r>
    </w:p>
    <w:p w14:paraId="1A8DEA8A" w14:textId="77777777" w:rsidR="00EB22DC" w:rsidRDefault="00EB22DC" w:rsidP="00751FB4">
      <w:pPr>
        <w:pStyle w:val="Bodytext10"/>
        <w:shd w:val="clear" w:color="auto" w:fill="auto"/>
        <w:spacing w:after="0" w:line="360" w:lineRule="auto"/>
        <w:ind w:left="4" w:hanging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E3054" w14:textId="7FC3EDFC" w:rsidR="004C1021" w:rsidRPr="001F23FE" w:rsidRDefault="00F42249" w:rsidP="00751FB4">
      <w:pPr>
        <w:pStyle w:val="Bodytext10"/>
        <w:shd w:val="clear" w:color="auto" w:fill="auto"/>
        <w:spacing w:after="0" w:line="360" w:lineRule="auto"/>
        <w:ind w:left="4" w:hanging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3FE">
        <w:rPr>
          <w:rFonts w:ascii="Times New Roman" w:eastAsia="Times New Roman" w:hAnsi="Times New Roman" w:cs="Times New Roman"/>
          <w:b/>
          <w:sz w:val="24"/>
          <w:szCs w:val="24"/>
        </w:rPr>
        <w:t>NOTICE</w:t>
      </w:r>
    </w:p>
    <w:p w14:paraId="35BEE763" w14:textId="77777777" w:rsidR="004C1021" w:rsidRPr="001F23FE" w:rsidRDefault="004C1021" w:rsidP="00751FB4">
      <w:pPr>
        <w:pStyle w:val="Bodytext10"/>
        <w:shd w:val="clear" w:color="auto" w:fill="auto"/>
        <w:spacing w:after="0" w:line="360" w:lineRule="auto"/>
        <w:ind w:left="4" w:hanging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5706FA" w14:textId="7D47072F" w:rsidR="00B1670D" w:rsidRPr="00196D8B" w:rsidRDefault="002A65B7" w:rsidP="00196D8B">
      <w:pPr>
        <w:jc w:val="center"/>
        <w:rPr>
          <w:b/>
          <w:sz w:val="32"/>
          <w:szCs w:val="28"/>
          <w:lang w:val="en-US"/>
        </w:rPr>
      </w:pPr>
      <w:r>
        <w:rPr>
          <w:b/>
          <w:lang w:val="en-US"/>
        </w:rPr>
        <w:t>2</w:t>
      </w:r>
      <w:r w:rsidRPr="002A65B7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</w:t>
      </w:r>
      <w:r w:rsidR="00301EE4" w:rsidRPr="00196D8B">
        <w:rPr>
          <w:b/>
          <w:lang w:val="en-US"/>
        </w:rPr>
        <w:t>CALL</w:t>
      </w:r>
      <w:r w:rsidR="00F42249" w:rsidRPr="00196D8B">
        <w:rPr>
          <w:b/>
          <w:lang w:val="en-US"/>
        </w:rPr>
        <w:t xml:space="preserve"> FOR </w:t>
      </w:r>
      <w:r w:rsidR="004265A7">
        <w:rPr>
          <w:b/>
          <w:lang w:val="en-US"/>
        </w:rPr>
        <w:t xml:space="preserve">APPLICATION FOR </w:t>
      </w:r>
      <w:r w:rsidR="00FE2798">
        <w:rPr>
          <w:b/>
          <w:lang w:val="en-US"/>
        </w:rPr>
        <w:t>EXCHANGE VISITS OF LE</w:t>
      </w:r>
      <w:r w:rsidR="004265A7">
        <w:rPr>
          <w:b/>
          <w:lang w:val="en-US"/>
        </w:rPr>
        <w:t>C</w:t>
      </w:r>
      <w:r w:rsidR="00FE2798">
        <w:rPr>
          <w:b/>
          <w:lang w:val="en-US"/>
        </w:rPr>
        <w:t>TURERS, RESEARCHERS, TECHNICAL AND ADMINISTRIVE STAFF</w:t>
      </w:r>
      <w:r w:rsidR="00301EE4" w:rsidRPr="00196D8B">
        <w:rPr>
          <w:b/>
          <w:color w:val="auto"/>
          <w:lang w:val="en-US"/>
        </w:rPr>
        <w:t xml:space="preserve"> </w:t>
      </w:r>
      <w:r w:rsidR="00FE2798">
        <w:rPr>
          <w:b/>
          <w:color w:val="auto"/>
          <w:lang w:val="en-US"/>
        </w:rPr>
        <w:t xml:space="preserve">AND STUDENTS </w:t>
      </w:r>
    </w:p>
    <w:p w14:paraId="0A536D2B" w14:textId="77777777" w:rsidR="00B371E8" w:rsidRPr="003E660E" w:rsidRDefault="00B371E8" w:rsidP="00B371E8">
      <w:pPr>
        <w:pStyle w:val="Bodytext10"/>
        <w:shd w:val="clear" w:color="auto" w:fill="auto"/>
        <w:spacing w:after="0" w:line="360" w:lineRule="auto"/>
        <w:ind w:left="4" w:hanging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6BDB7" w14:textId="77777777" w:rsidR="00F35267" w:rsidRDefault="00196D8B" w:rsidP="00F35267">
      <w:pPr>
        <w:spacing w:before="100" w:beforeAutospacing="1" w:after="100" w:afterAutospacing="1" w:line="360" w:lineRule="auto"/>
        <w:jc w:val="both"/>
        <w:rPr>
          <w:color w:val="auto"/>
          <w:lang w:val="en-US"/>
        </w:rPr>
      </w:pPr>
      <w:r w:rsidRPr="00F35267">
        <w:rPr>
          <w:color w:val="auto"/>
          <w:lang w:val="en-US"/>
        </w:rPr>
        <w:t xml:space="preserve">The </w:t>
      </w:r>
      <w:r w:rsidR="00F35267" w:rsidRPr="00F35267">
        <w:rPr>
          <w:color w:val="auto"/>
          <w:lang w:val="en-US"/>
        </w:rPr>
        <w:t>Regional Centre of Excellence in Agri-food Systems and Nutrition (CE-AFSN)</w:t>
      </w:r>
      <w:r w:rsidR="00F35267">
        <w:rPr>
          <w:color w:val="auto"/>
          <w:lang w:val="en-US"/>
        </w:rPr>
        <w:t xml:space="preserve">, </w:t>
      </w:r>
      <w:r w:rsidR="00BD168A" w:rsidRPr="00F35267">
        <w:rPr>
          <w:color w:val="auto"/>
          <w:lang w:val="en-US"/>
        </w:rPr>
        <w:t>Eduardo Mondlane</w:t>
      </w:r>
      <w:r w:rsidRPr="00F35267">
        <w:rPr>
          <w:color w:val="auto"/>
          <w:lang w:val="en-US"/>
        </w:rPr>
        <w:t xml:space="preserve"> University</w:t>
      </w:r>
      <w:r w:rsidR="007E64C6" w:rsidRPr="00F35267">
        <w:rPr>
          <w:color w:val="auto"/>
          <w:lang w:val="en-US"/>
        </w:rPr>
        <w:t>,</w:t>
      </w:r>
      <w:r w:rsidRPr="00F35267">
        <w:rPr>
          <w:color w:val="auto"/>
          <w:lang w:val="en-US"/>
        </w:rPr>
        <w:t xml:space="preserve"> is</w:t>
      </w:r>
      <w:r w:rsidR="00BD168A" w:rsidRPr="00F35267">
        <w:rPr>
          <w:color w:val="auto"/>
          <w:lang w:val="en-US"/>
        </w:rPr>
        <w:t xml:space="preserve"> </w:t>
      </w:r>
      <w:r w:rsidRPr="00F35267">
        <w:rPr>
          <w:color w:val="auto"/>
          <w:lang w:val="en-US"/>
        </w:rPr>
        <w:t>implementing a</w:t>
      </w:r>
      <w:r w:rsidR="006B5A8E" w:rsidRPr="00F35267">
        <w:rPr>
          <w:color w:val="auto"/>
          <w:lang w:val="en-US"/>
        </w:rPr>
        <w:t xml:space="preserve">n additional </w:t>
      </w:r>
      <w:r w:rsidR="00FE2798" w:rsidRPr="00F35267">
        <w:rPr>
          <w:color w:val="auto"/>
          <w:lang w:val="en-US"/>
        </w:rPr>
        <w:t xml:space="preserve">financing project of </w:t>
      </w:r>
      <w:r w:rsidR="00D01331" w:rsidRPr="00F35267">
        <w:rPr>
          <w:color w:val="auto"/>
          <w:lang w:val="en-US"/>
        </w:rPr>
        <w:t>A</w:t>
      </w:r>
      <w:r w:rsidR="006B5A8E" w:rsidRPr="00F35267">
        <w:rPr>
          <w:color w:val="auto"/>
          <w:lang w:val="en-US"/>
        </w:rPr>
        <w:t>frican</w:t>
      </w:r>
      <w:r w:rsidR="00D94095" w:rsidRPr="00F35267">
        <w:rPr>
          <w:color w:val="auto"/>
          <w:lang w:val="en-US"/>
        </w:rPr>
        <w:t xml:space="preserve"> </w:t>
      </w:r>
      <w:r w:rsidR="00FE2798" w:rsidRPr="00F35267">
        <w:rPr>
          <w:color w:val="auto"/>
          <w:lang w:val="en-US"/>
        </w:rPr>
        <w:t xml:space="preserve">Centres of </w:t>
      </w:r>
      <w:r w:rsidR="00D94095" w:rsidRPr="00F35267">
        <w:rPr>
          <w:color w:val="auto"/>
          <w:lang w:val="en-US"/>
        </w:rPr>
        <w:t>Excel</w:t>
      </w:r>
      <w:r w:rsidR="006B5A8E" w:rsidRPr="00F35267">
        <w:rPr>
          <w:color w:val="auto"/>
          <w:lang w:val="en-US"/>
        </w:rPr>
        <w:t>lence project</w:t>
      </w:r>
      <w:r w:rsidR="00D94095" w:rsidRPr="00F35267">
        <w:rPr>
          <w:color w:val="auto"/>
          <w:lang w:val="en-US"/>
        </w:rPr>
        <w:t xml:space="preserve"> (ACE-II AF)</w:t>
      </w:r>
      <w:r w:rsidR="00BD168A" w:rsidRPr="00F35267">
        <w:rPr>
          <w:color w:val="auto"/>
          <w:lang w:val="en-US"/>
        </w:rPr>
        <w:t xml:space="preserve">. </w:t>
      </w:r>
    </w:p>
    <w:p w14:paraId="4E6047BD" w14:textId="77777777" w:rsidR="00F35267" w:rsidRDefault="004265A7" w:rsidP="00F35267">
      <w:pPr>
        <w:spacing w:before="100" w:beforeAutospacing="1" w:after="100" w:afterAutospacing="1" w:line="360" w:lineRule="auto"/>
        <w:jc w:val="both"/>
        <w:rPr>
          <w:color w:val="auto"/>
          <w:kern w:val="2"/>
          <w:lang w:val="en-US" w:eastAsia="en-US" w:bidi="ar-SA"/>
        </w:rPr>
      </w:pPr>
      <w:r w:rsidRPr="00F35267">
        <w:rPr>
          <w:color w:val="auto"/>
          <w:lang w:val="en-US"/>
        </w:rPr>
        <w:t>Among the activities to be implemented under the project is to finance e</w:t>
      </w:r>
      <w:r w:rsidR="00FE2798" w:rsidRPr="00F35267">
        <w:rPr>
          <w:color w:val="auto"/>
          <w:lang w:val="en-US"/>
        </w:rPr>
        <w:t>xchange visits of lecturers, researchers, Members of the Technical and Administrative staff and postgraduate Students</w:t>
      </w:r>
      <w:r w:rsidRPr="00F35267">
        <w:rPr>
          <w:color w:val="auto"/>
          <w:lang w:val="en-US"/>
        </w:rPr>
        <w:t xml:space="preserve">. The exchange visits should take place between </w:t>
      </w:r>
      <w:r w:rsidR="00FE2798" w:rsidRPr="00F35267">
        <w:rPr>
          <w:color w:val="auto"/>
          <w:lang w:val="en-US"/>
        </w:rPr>
        <w:t>CE-AFSN and others institutions at National, Regionals and Internationals level.</w:t>
      </w:r>
      <w:r w:rsidR="00D72E60" w:rsidRPr="00F35267">
        <w:rPr>
          <w:color w:val="auto"/>
          <w:kern w:val="2"/>
          <w:lang w:val="en-US" w:eastAsia="en-US" w:bidi="ar-SA"/>
        </w:rPr>
        <w:t xml:space="preserve"> </w:t>
      </w:r>
    </w:p>
    <w:p w14:paraId="2C4C5EEC" w14:textId="77777777" w:rsidR="00F35267" w:rsidRDefault="00CE2251" w:rsidP="00F35267">
      <w:pPr>
        <w:spacing w:before="100" w:beforeAutospacing="1" w:after="100" w:afterAutospacing="1" w:line="360" w:lineRule="auto"/>
        <w:jc w:val="both"/>
        <w:rPr>
          <w:color w:val="auto"/>
          <w:lang w:val="en-US" w:eastAsia="en-GB"/>
        </w:rPr>
      </w:pPr>
      <w:r w:rsidRPr="00F35267">
        <w:rPr>
          <w:color w:val="auto"/>
          <w:kern w:val="2"/>
          <w:lang w:val="en-US" w:eastAsia="en-US" w:bidi="ar-SA"/>
        </w:rPr>
        <w:t>Th</w:t>
      </w:r>
      <w:r w:rsidR="00FE2798" w:rsidRPr="00F35267">
        <w:rPr>
          <w:color w:val="auto"/>
          <w:kern w:val="2"/>
          <w:lang w:val="en-US" w:eastAsia="en-US" w:bidi="ar-SA"/>
        </w:rPr>
        <w:t xml:space="preserve">is notice serves to </w:t>
      </w:r>
      <w:r w:rsidR="00333DAA" w:rsidRPr="00F35267">
        <w:rPr>
          <w:color w:val="auto"/>
          <w:kern w:val="2"/>
          <w:lang w:val="en-US" w:eastAsia="en-US" w:bidi="ar-SA"/>
        </w:rPr>
        <w:t xml:space="preserve">inform that the applications for </w:t>
      </w:r>
      <w:r w:rsidR="00931E90" w:rsidRPr="00F35267">
        <w:rPr>
          <w:b/>
          <w:color w:val="auto"/>
          <w:lang w:val="en-US"/>
        </w:rPr>
        <w:t>National</w:t>
      </w:r>
      <w:r w:rsidR="008F73BB" w:rsidRPr="00F35267">
        <w:rPr>
          <w:b/>
          <w:color w:val="auto"/>
          <w:lang w:val="en-US"/>
        </w:rPr>
        <w:t xml:space="preserve"> </w:t>
      </w:r>
      <w:r w:rsidR="00931E90" w:rsidRPr="00F35267">
        <w:rPr>
          <w:b/>
          <w:color w:val="auto"/>
          <w:lang w:val="en-US"/>
        </w:rPr>
        <w:t>and Regionals</w:t>
      </w:r>
      <w:r w:rsidR="00931E90" w:rsidRPr="00F35267">
        <w:rPr>
          <w:color w:val="auto"/>
          <w:lang w:val="en-US"/>
        </w:rPr>
        <w:t xml:space="preserve"> </w:t>
      </w:r>
      <w:r w:rsidR="00FE2798" w:rsidRPr="00F35267">
        <w:rPr>
          <w:color w:val="auto"/>
          <w:kern w:val="2"/>
          <w:lang w:val="en-US" w:eastAsia="en-US" w:bidi="ar-SA"/>
        </w:rPr>
        <w:t xml:space="preserve">exchange visits </w:t>
      </w:r>
      <w:r w:rsidR="008F73BB" w:rsidRPr="00F35267">
        <w:rPr>
          <w:color w:val="auto"/>
          <w:kern w:val="2"/>
          <w:lang w:val="en-US" w:eastAsia="en-US" w:bidi="ar-SA"/>
        </w:rPr>
        <w:t xml:space="preserve">to take place between </w:t>
      </w:r>
      <w:r w:rsidR="008F73BB" w:rsidRPr="00F35267">
        <w:rPr>
          <w:b/>
          <w:color w:val="auto"/>
          <w:kern w:val="2"/>
          <w:lang w:val="en-US" w:eastAsia="en-US" w:bidi="ar-SA"/>
        </w:rPr>
        <w:t>January and February 2025</w:t>
      </w:r>
      <w:r w:rsidR="008F73BB" w:rsidRPr="00F35267">
        <w:rPr>
          <w:color w:val="auto"/>
          <w:kern w:val="2"/>
          <w:lang w:val="en-US" w:eastAsia="en-US" w:bidi="ar-SA"/>
        </w:rPr>
        <w:t xml:space="preserve"> </w:t>
      </w:r>
      <w:r w:rsidR="00333DAA" w:rsidRPr="00F35267">
        <w:rPr>
          <w:color w:val="auto"/>
          <w:kern w:val="2"/>
          <w:lang w:val="en-US" w:eastAsia="en-US" w:bidi="ar-SA"/>
        </w:rPr>
        <w:t>are now open</w:t>
      </w:r>
      <w:r w:rsidR="00110AF2" w:rsidRPr="00F35267">
        <w:rPr>
          <w:color w:val="auto"/>
          <w:lang w:val="en-US" w:eastAsia="en-GB"/>
        </w:rPr>
        <w:t xml:space="preserve">. </w:t>
      </w:r>
    </w:p>
    <w:p w14:paraId="6FC4FB38" w14:textId="77777777" w:rsidR="00F35267" w:rsidRDefault="00970672" w:rsidP="00F35267">
      <w:pPr>
        <w:spacing w:before="100" w:beforeAutospacing="1" w:after="100" w:afterAutospacing="1" w:line="360" w:lineRule="auto"/>
        <w:jc w:val="both"/>
        <w:rPr>
          <w:color w:val="3C4043"/>
          <w:lang w:val="en-GB"/>
        </w:rPr>
      </w:pPr>
      <w:r w:rsidRPr="00F35267">
        <w:rPr>
          <w:b/>
          <w:bCs/>
          <w:color w:val="auto"/>
          <w:u w:val="single"/>
          <w:lang w:val="en-US" w:eastAsia="en-GB"/>
        </w:rPr>
        <w:t>This call is for applicants who have n</w:t>
      </w:r>
      <w:r w:rsidRPr="00F35267">
        <w:rPr>
          <w:b/>
          <w:bCs/>
          <w:color w:val="3C4043"/>
          <w:u w:val="single"/>
          <w:lang w:val="en-GB"/>
        </w:rPr>
        <w:t xml:space="preserve">ot benefited from </w:t>
      </w:r>
      <w:r w:rsidR="00FA3958" w:rsidRPr="00F35267">
        <w:rPr>
          <w:b/>
          <w:bCs/>
          <w:color w:val="3C4043"/>
          <w:u w:val="single"/>
          <w:lang w:val="en-GB"/>
        </w:rPr>
        <w:t xml:space="preserve">CE-AFSN </w:t>
      </w:r>
      <w:r w:rsidRPr="00F35267">
        <w:rPr>
          <w:b/>
          <w:bCs/>
          <w:color w:val="3C4043"/>
          <w:u w:val="single"/>
          <w:lang w:val="en-GB"/>
        </w:rPr>
        <w:t xml:space="preserve">exchange </w:t>
      </w:r>
      <w:r w:rsidR="0099700E" w:rsidRPr="00F35267">
        <w:rPr>
          <w:b/>
          <w:bCs/>
          <w:color w:val="3C4043"/>
          <w:u w:val="single"/>
          <w:lang w:val="en-GB"/>
        </w:rPr>
        <w:t>visit before</w:t>
      </w:r>
      <w:r w:rsidRPr="00F35267">
        <w:rPr>
          <w:color w:val="3C4043"/>
          <w:lang w:val="en-GB"/>
        </w:rPr>
        <w:t xml:space="preserve">. </w:t>
      </w:r>
      <w:r w:rsidR="00FA3958" w:rsidRPr="00F35267">
        <w:rPr>
          <w:b/>
          <w:bCs/>
          <w:color w:val="3C4043"/>
          <w:u w:val="single"/>
          <w:lang w:val="en-GB"/>
        </w:rPr>
        <w:t>It is important to notice that you only apply when sure that you will be available to participate in exchange between January and February</w:t>
      </w:r>
      <w:r w:rsidR="00FA3958" w:rsidRPr="00F35267">
        <w:rPr>
          <w:color w:val="3C4043"/>
          <w:lang w:val="en-GB"/>
        </w:rPr>
        <w:t xml:space="preserve">. </w:t>
      </w:r>
    </w:p>
    <w:p w14:paraId="778FE1F8" w14:textId="51199A68" w:rsidR="007D7129" w:rsidRPr="000A1082" w:rsidRDefault="00333DAA" w:rsidP="00F35267">
      <w:pPr>
        <w:spacing w:before="100" w:beforeAutospacing="1" w:after="100" w:afterAutospacing="1" w:line="360" w:lineRule="auto"/>
        <w:jc w:val="both"/>
        <w:rPr>
          <w:color w:val="auto"/>
          <w:lang w:val="en-US"/>
        </w:rPr>
      </w:pPr>
      <w:r w:rsidRPr="00F35267">
        <w:rPr>
          <w:color w:val="auto"/>
          <w:lang w:val="en-US" w:eastAsia="en-GB"/>
        </w:rPr>
        <w:t>For more details about the crit</w:t>
      </w:r>
      <w:r w:rsidR="003E660E" w:rsidRPr="00F35267">
        <w:rPr>
          <w:color w:val="auto"/>
          <w:lang w:val="en-US" w:eastAsia="en-GB"/>
        </w:rPr>
        <w:t>eria</w:t>
      </w:r>
      <w:r w:rsidRPr="00F35267">
        <w:rPr>
          <w:color w:val="auto"/>
          <w:lang w:val="en-US" w:eastAsia="en-GB"/>
        </w:rPr>
        <w:t xml:space="preserve"> and conditions f</w:t>
      </w:r>
      <w:r w:rsidR="004265A7" w:rsidRPr="00F35267">
        <w:rPr>
          <w:color w:val="auto"/>
          <w:lang w:val="en-US" w:eastAsia="en-GB"/>
        </w:rPr>
        <w:t>or</w:t>
      </w:r>
      <w:r w:rsidRPr="00F35267">
        <w:rPr>
          <w:color w:val="auto"/>
          <w:lang w:val="en-US" w:eastAsia="en-GB"/>
        </w:rPr>
        <w:t xml:space="preserve"> </w:t>
      </w:r>
      <w:r w:rsidR="00FE2798" w:rsidRPr="00F35267">
        <w:rPr>
          <w:color w:val="auto"/>
          <w:lang w:val="en-US" w:eastAsia="en-GB"/>
        </w:rPr>
        <w:t>participating in exchange visits</w:t>
      </w:r>
      <w:r w:rsidRPr="00F35267">
        <w:rPr>
          <w:color w:val="auto"/>
          <w:lang w:val="en-US" w:eastAsia="en-GB"/>
        </w:rPr>
        <w:t xml:space="preserve">, </w:t>
      </w:r>
      <w:r w:rsidR="004265A7" w:rsidRPr="00F35267">
        <w:rPr>
          <w:color w:val="auto"/>
          <w:lang w:val="en-US" w:eastAsia="en-GB"/>
        </w:rPr>
        <w:t xml:space="preserve">applicants are recommended to </w:t>
      </w:r>
      <w:r w:rsidRPr="00F35267">
        <w:rPr>
          <w:color w:val="auto"/>
          <w:lang w:val="en-US" w:eastAsia="en-GB"/>
        </w:rPr>
        <w:t xml:space="preserve">read the </w:t>
      </w:r>
      <w:r w:rsidR="00FE2798" w:rsidRPr="00F35267">
        <w:rPr>
          <w:color w:val="auto"/>
          <w:lang w:val="en-US" w:eastAsia="en-GB"/>
        </w:rPr>
        <w:t xml:space="preserve">terms of </w:t>
      </w:r>
      <w:r w:rsidRPr="00F35267">
        <w:rPr>
          <w:color w:val="auto"/>
          <w:lang w:val="en-US" w:eastAsia="en-GB"/>
        </w:rPr>
        <w:t xml:space="preserve">reference </w:t>
      </w:r>
      <w:r w:rsidR="00931E90" w:rsidRPr="00F35267">
        <w:rPr>
          <w:color w:val="auto"/>
          <w:lang w:val="en-US" w:eastAsia="en-GB"/>
        </w:rPr>
        <w:t xml:space="preserve">published </w:t>
      </w:r>
      <w:r w:rsidR="00931E90" w:rsidRPr="00F35267">
        <w:rPr>
          <w:bCs/>
          <w:color w:val="auto"/>
          <w:lang w:val="en-US" w:eastAsia="en-GB"/>
        </w:rPr>
        <w:t>at</w:t>
      </w:r>
      <w:r w:rsidR="003E660E" w:rsidRPr="00F35267">
        <w:rPr>
          <w:bCs/>
          <w:color w:val="auto"/>
          <w:lang w:val="en-US" w:eastAsia="en-GB"/>
        </w:rPr>
        <w:t xml:space="preserve"> the </w:t>
      </w:r>
      <w:r w:rsidR="00931E90" w:rsidRPr="00F35267">
        <w:rPr>
          <w:b/>
          <w:lang w:val="en-GB"/>
        </w:rPr>
        <w:t xml:space="preserve">CE-AFSN </w:t>
      </w:r>
      <w:r w:rsidR="003E660E" w:rsidRPr="00F35267">
        <w:rPr>
          <w:bCs/>
          <w:color w:val="auto"/>
          <w:lang w:val="en-US" w:eastAsia="en-GB"/>
        </w:rPr>
        <w:t>website</w:t>
      </w:r>
      <w:r w:rsidR="004265A7" w:rsidRPr="00F35267">
        <w:rPr>
          <w:bCs/>
          <w:color w:val="auto"/>
          <w:lang w:val="en-US" w:eastAsia="en-GB"/>
        </w:rPr>
        <w:t xml:space="preserve"> </w:t>
      </w:r>
      <w:r w:rsidR="000A1082" w:rsidRPr="000A1082">
        <w:rPr>
          <w:bCs/>
          <w:color w:val="auto"/>
          <w:lang w:val="en-US" w:eastAsia="en-GB"/>
        </w:rPr>
        <w:t>(</w:t>
      </w:r>
      <w:hyperlink r:id="rId10" w:history="1">
        <w:r w:rsidR="000A1082" w:rsidRPr="000A1082">
          <w:rPr>
            <w:rStyle w:val="Hyperlink"/>
            <w:bCs/>
            <w:lang w:val="en-US" w:eastAsia="en-GB"/>
          </w:rPr>
          <w:t>https://ceafsn.uem.mz/</w:t>
        </w:r>
      </w:hyperlink>
      <w:r w:rsidR="000A1082" w:rsidRPr="000A1082">
        <w:rPr>
          <w:bCs/>
          <w:color w:val="auto"/>
          <w:lang w:val="en-US" w:eastAsia="en-GB"/>
        </w:rPr>
        <w:t>).</w:t>
      </w:r>
    </w:p>
    <w:p w14:paraId="4E86CB57" w14:textId="77777777" w:rsidR="003E660E" w:rsidRPr="003E660E" w:rsidRDefault="003E660E" w:rsidP="003E660E">
      <w:pPr>
        <w:pStyle w:val="ListParagraph"/>
        <w:spacing w:before="100" w:beforeAutospacing="1" w:after="100" w:afterAutospacing="1" w:line="360" w:lineRule="auto"/>
        <w:jc w:val="both"/>
        <w:rPr>
          <w:color w:val="auto"/>
          <w:lang w:val="en-US"/>
        </w:rPr>
      </w:pPr>
    </w:p>
    <w:p w14:paraId="5C083C80" w14:textId="61870B8D" w:rsidR="00110AF2" w:rsidRPr="00FE2798" w:rsidRDefault="00FE2798" w:rsidP="00F35267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color w:val="202124"/>
          <w:lang w:val="pt-BR"/>
        </w:rPr>
      </w:pPr>
      <w:r>
        <w:rPr>
          <w:b/>
          <w:bCs/>
          <w:lang w:val="en-US"/>
        </w:rPr>
        <w:t xml:space="preserve">Exchange </w:t>
      </w:r>
      <w:r w:rsidR="003E660E">
        <w:rPr>
          <w:b/>
          <w:bCs/>
          <w:lang w:val="pt-BR"/>
        </w:rPr>
        <w:t>application process</w:t>
      </w:r>
    </w:p>
    <w:p w14:paraId="309A9C3E" w14:textId="2AAC4A22" w:rsidR="00FE2798" w:rsidRPr="00FE2798" w:rsidRDefault="00FE2798" w:rsidP="00FE2798">
      <w:pPr>
        <w:spacing w:before="100" w:beforeAutospacing="1" w:after="100" w:afterAutospacing="1" w:line="360" w:lineRule="auto"/>
        <w:jc w:val="both"/>
        <w:rPr>
          <w:color w:val="202124"/>
          <w:lang w:val="en-US"/>
        </w:rPr>
      </w:pPr>
      <w:r w:rsidRPr="00FE2798">
        <w:rPr>
          <w:color w:val="202124"/>
          <w:lang w:val="en-US"/>
        </w:rPr>
        <w:t>To apply to exchange v</w:t>
      </w:r>
      <w:r>
        <w:rPr>
          <w:color w:val="202124"/>
          <w:lang w:val="en-US"/>
        </w:rPr>
        <w:t>isit program, the candidates must submit the following:</w:t>
      </w:r>
    </w:p>
    <w:p w14:paraId="4305F190" w14:textId="08803261" w:rsidR="00110AF2" w:rsidRPr="003E660E" w:rsidRDefault="00110AF2" w:rsidP="00F34528">
      <w:pPr>
        <w:pStyle w:val="Bodytext10"/>
        <w:shd w:val="clear" w:color="auto" w:fill="auto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60E">
        <w:rPr>
          <w:rFonts w:ascii="Times New Roman" w:hAnsi="Times New Roman" w:cs="Times New Roman"/>
          <w:bCs/>
          <w:sz w:val="24"/>
          <w:szCs w:val="24"/>
        </w:rPr>
        <w:lastRenderedPageBreak/>
        <w:t>1.</w:t>
      </w:r>
      <w:r w:rsidR="003E660E" w:rsidRPr="003E66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798">
        <w:rPr>
          <w:rFonts w:ascii="Times New Roman" w:hAnsi="Times New Roman" w:cs="Times New Roman"/>
          <w:bCs/>
          <w:sz w:val="24"/>
          <w:szCs w:val="24"/>
        </w:rPr>
        <w:t>L</w:t>
      </w:r>
      <w:r w:rsidR="003E660E" w:rsidRPr="003E660E">
        <w:rPr>
          <w:rFonts w:ascii="Times New Roman" w:hAnsi="Times New Roman" w:cs="Times New Roman"/>
          <w:bCs/>
          <w:sz w:val="24"/>
          <w:szCs w:val="24"/>
        </w:rPr>
        <w:t>etter of application to the</w:t>
      </w:r>
      <w:r w:rsidRPr="003E66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60E">
        <w:rPr>
          <w:rFonts w:ascii="Times New Roman" w:eastAsia="Times New Roman" w:hAnsi="Times New Roman" w:cs="Times New Roman"/>
          <w:b/>
          <w:sz w:val="24"/>
          <w:szCs w:val="24"/>
        </w:rPr>
        <w:t>CE-AFSN</w:t>
      </w:r>
      <w:r w:rsidR="004A301A" w:rsidRPr="003E66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660E" w:rsidRPr="003E660E">
        <w:rPr>
          <w:rFonts w:ascii="Times New Roman" w:hAnsi="Times New Roman" w:cs="Times New Roman"/>
          <w:bCs/>
          <w:sz w:val="24"/>
          <w:szCs w:val="24"/>
        </w:rPr>
        <w:t>Director;</w:t>
      </w:r>
    </w:p>
    <w:p w14:paraId="68B9B82A" w14:textId="2805FF39" w:rsidR="00D84EDE" w:rsidRDefault="00110AF2" w:rsidP="00F34528">
      <w:pPr>
        <w:pStyle w:val="Bodytext10"/>
        <w:shd w:val="clear" w:color="auto" w:fill="auto"/>
        <w:spacing w:after="0" w:line="360" w:lineRule="auto"/>
        <w:ind w:left="360"/>
        <w:jc w:val="both"/>
        <w:rPr>
          <w:bCs/>
          <w:lang w:eastAsia="en-GB"/>
        </w:rPr>
      </w:pPr>
      <w:r w:rsidRPr="00E63A7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E2798">
        <w:rPr>
          <w:rFonts w:ascii="Times New Roman" w:eastAsia="Times New Roman" w:hAnsi="Times New Roman" w:cs="Times New Roman"/>
          <w:sz w:val="24"/>
          <w:szCs w:val="24"/>
        </w:rPr>
        <w:t>C</w:t>
      </w:r>
      <w:r w:rsidR="00E63A72" w:rsidRPr="00E63A72">
        <w:rPr>
          <w:rFonts w:ascii="Times New Roman" w:eastAsia="Times New Roman" w:hAnsi="Times New Roman" w:cs="Times New Roman"/>
          <w:sz w:val="24"/>
          <w:szCs w:val="24"/>
        </w:rPr>
        <w:t>ompleted</w:t>
      </w:r>
      <w:r w:rsidR="00FE2798">
        <w:rPr>
          <w:rFonts w:ascii="Times New Roman" w:eastAsia="Times New Roman" w:hAnsi="Times New Roman" w:cs="Times New Roman"/>
          <w:sz w:val="24"/>
          <w:szCs w:val="24"/>
        </w:rPr>
        <w:t xml:space="preserve"> application </w:t>
      </w:r>
      <w:r w:rsidR="00D84EDE">
        <w:rPr>
          <w:rFonts w:ascii="Times New Roman" w:eastAsia="Times New Roman" w:hAnsi="Times New Roman" w:cs="Times New Roman"/>
          <w:sz w:val="24"/>
          <w:szCs w:val="24"/>
        </w:rPr>
        <w:t xml:space="preserve">Excel </w:t>
      </w:r>
      <w:r w:rsidR="00FE2798">
        <w:rPr>
          <w:rFonts w:ascii="Times New Roman" w:eastAsia="Times New Roman" w:hAnsi="Times New Roman" w:cs="Times New Roman"/>
          <w:sz w:val="24"/>
          <w:szCs w:val="24"/>
        </w:rPr>
        <w:t xml:space="preserve">form which can be </w:t>
      </w:r>
      <w:r w:rsidR="00E63A72" w:rsidRPr="00E63A72">
        <w:rPr>
          <w:rFonts w:ascii="Times New Roman" w:eastAsia="Times New Roman" w:hAnsi="Times New Roman" w:cs="Times New Roman"/>
          <w:sz w:val="24"/>
          <w:szCs w:val="24"/>
        </w:rPr>
        <w:t xml:space="preserve">downloaded </w:t>
      </w:r>
      <w:r w:rsidR="004265A7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E63A72" w:rsidRPr="00E63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EDE" w:rsidRPr="00931E9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CE-</w:t>
      </w:r>
      <w:r w:rsidR="00D84EDE" w:rsidRPr="00D84ED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AFSN </w:t>
      </w:r>
      <w:r w:rsidR="00D84EDE" w:rsidRPr="00D84EDE">
        <w:rPr>
          <w:rFonts w:ascii="Times New Roman" w:hAnsi="Times New Roman" w:cs="Times New Roman"/>
          <w:bCs/>
          <w:sz w:val="24"/>
          <w:szCs w:val="24"/>
          <w:lang w:eastAsia="en-GB"/>
        </w:rPr>
        <w:t>website</w:t>
      </w:r>
    </w:p>
    <w:p w14:paraId="4038AA55" w14:textId="03F9CD81" w:rsidR="00110AF2" w:rsidRPr="00E63A72" w:rsidRDefault="00110AF2" w:rsidP="00F34528">
      <w:pPr>
        <w:pStyle w:val="Bodytext10"/>
        <w:shd w:val="clear" w:color="auto" w:fill="auto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A7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12443">
        <w:rPr>
          <w:rFonts w:ascii="Times New Roman" w:eastAsia="Times New Roman" w:hAnsi="Times New Roman" w:cs="Times New Roman"/>
          <w:sz w:val="24"/>
          <w:szCs w:val="24"/>
        </w:rPr>
        <w:t xml:space="preserve">Submit </w:t>
      </w:r>
      <w:r w:rsidR="00E63A72" w:rsidRPr="00E63A72">
        <w:rPr>
          <w:rFonts w:ascii="Times New Roman" w:eastAsia="Times New Roman" w:hAnsi="Times New Roman" w:cs="Times New Roman"/>
          <w:sz w:val="24"/>
          <w:szCs w:val="24"/>
        </w:rPr>
        <w:t>a</w:t>
      </w:r>
      <w:r w:rsidR="00712443">
        <w:rPr>
          <w:rFonts w:ascii="Times New Roman" w:eastAsia="Times New Roman" w:hAnsi="Times New Roman" w:cs="Times New Roman"/>
          <w:sz w:val="24"/>
          <w:szCs w:val="24"/>
        </w:rPr>
        <w:t>n</w:t>
      </w:r>
      <w:r w:rsidR="00E63A72" w:rsidRPr="00E63A72">
        <w:rPr>
          <w:rFonts w:ascii="Times New Roman" w:eastAsia="Times New Roman" w:hAnsi="Times New Roman" w:cs="Times New Roman"/>
          <w:sz w:val="24"/>
          <w:szCs w:val="24"/>
        </w:rPr>
        <w:t xml:space="preserve"> Invitation letter from the institution to visit</w:t>
      </w:r>
      <w:r w:rsidR="00726474" w:rsidRPr="00E63A7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8C64F6" w14:textId="08BD4AAB" w:rsidR="00D72E60" w:rsidRPr="00E63A72" w:rsidRDefault="00110AF2" w:rsidP="00F34528">
      <w:pPr>
        <w:pStyle w:val="Bodytext10"/>
        <w:shd w:val="clear" w:color="auto" w:fill="auto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A7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E2798">
        <w:rPr>
          <w:rFonts w:ascii="Times New Roman" w:eastAsia="Times New Roman" w:hAnsi="Times New Roman" w:cs="Times New Roman"/>
          <w:sz w:val="24"/>
          <w:szCs w:val="24"/>
        </w:rPr>
        <w:t xml:space="preserve">Submit a </w:t>
      </w:r>
      <w:r w:rsidR="00E63A72" w:rsidRPr="00E63A72">
        <w:rPr>
          <w:rFonts w:ascii="Times New Roman" w:eastAsia="Times New Roman" w:hAnsi="Times New Roman" w:cs="Times New Roman"/>
          <w:sz w:val="24"/>
          <w:szCs w:val="24"/>
        </w:rPr>
        <w:t>work plan</w:t>
      </w:r>
      <w:r w:rsidR="00FE2798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F25E0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63A72" w:rsidRPr="00E63A72">
        <w:rPr>
          <w:rFonts w:ascii="Times New Roman" w:eastAsia="Times New Roman" w:hAnsi="Times New Roman" w:cs="Times New Roman"/>
          <w:sz w:val="24"/>
          <w:szCs w:val="24"/>
        </w:rPr>
        <w:t>training</w:t>
      </w:r>
      <w:r w:rsidR="00F25E0E">
        <w:rPr>
          <w:rFonts w:ascii="Times New Roman" w:eastAsia="Times New Roman" w:hAnsi="Times New Roman" w:cs="Times New Roman"/>
          <w:sz w:val="24"/>
          <w:szCs w:val="24"/>
        </w:rPr>
        <w:t>, teaching or laboratory activities</w:t>
      </w:r>
      <w:r w:rsidR="004265A7">
        <w:rPr>
          <w:rFonts w:ascii="Times New Roman" w:eastAsia="Times New Roman" w:hAnsi="Times New Roman" w:cs="Times New Roman"/>
          <w:sz w:val="24"/>
          <w:szCs w:val="24"/>
        </w:rPr>
        <w:t xml:space="preserve"> which should be drafted in collaboration with hosting lecturer or rese</w:t>
      </w:r>
      <w:r w:rsidR="00CB0E78">
        <w:rPr>
          <w:rFonts w:ascii="Times New Roman" w:eastAsia="Times New Roman" w:hAnsi="Times New Roman" w:cs="Times New Roman"/>
          <w:sz w:val="24"/>
          <w:szCs w:val="24"/>
        </w:rPr>
        <w:t>a</w:t>
      </w:r>
      <w:r w:rsidR="004265A7">
        <w:rPr>
          <w:rFonts w:ascii="Times New Roman" w:eastAsia="Times New Roman" w:hAnsi="Times New Roman" w:cs="Times New Roman"/>
          <w:sz w:val="24"/>
          <w:szCs w:val="24"/>
        </w:rPr>
        <w:t>rcher</w:t>
      </w:r>
      <w:r w:rsidR="00726474" w:rsidRPr="00E63A7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D0BF93" w14:textId="78C3E111" w:rsidR="00075B6B" w:rsidRPr="003D41C6" w:rsidRDefault="00DF1FA0" w:rsidP="003D41C6">
      <w:pPr>
        <w:pStyle w:val="Bodytext10"/>
        <w:shd w:val="clear" w:color="auto" w:fill="auto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726474" w:rsidRPr="00E63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A72" w:rsidRPr="00E63A72">
        <w:rPr>
          <w:rFonts w:ascii="Times New Roman" w:eastAsia="Times New Roman" w:hAnsi="Times New Roman" w:cs="Times New Roman"/>
          <w:sz w:val="24"/>
          <w:szCs w:val="24"/>
        </w:rPr>
        <w:t>For students</w:t>
      </w:r>
      <w:r w:rsidR="00726474" w:rsidRPr="00E63A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5E0E">
        <w:rPr>
          <w:rFonts w:ascii="Times New Roman" w:eastAsia="Times New Roman" w:hAnsi="Times New Roman" w:cs="Times New Roman"/>
          <w:sz w:val="24"/>
          <w:szCs w:val="24"/>
        </w:rPr>
        <w:t xml:space="preserve">the candidate should submit a </w:t>
      </w:r>
      <w:r w:rsidR="00F41870">
        <w:rPr>
          <w:rFonts w:ascii="Times New Roman" w:eastAsia="Times New Roman" w:hAnsi="Times New Roman" w:cs="Times New Roman"/>
          <w:sz w:val="24"/>
          <w:szCs w:val="24"/>
        </w:rPr>
        <w:t>support l</w:t>
      </w:r>
      <w:r w:rsidR="00E63A72">
        <w:rPr>
          <w:rFonts w:ascii="Times New Roman" w:eastAsia="Times New Roman" w:hAnsi="Times New Roman" w:cs="Times New Roman"/>
          <w:sz w:val="24"/>
          <w:szCs w:val="24"/>
        </w:rPr>
        <w:t>etter f</w:t>
      </w:r>
      <w:r w:rsidR="00F25E0E"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 w:rsidR="00E63A72">
        <w:rPr>
          <w:rFonts w:ascii="Times New Roman" w:eastAsia="Times New Roman" w:hAnsi="Times New Roman" w:cs="Times New Roman"/>
          <w:sz w:val="24"/>
          <w:szCs w:val="24"/>
        </w:rPr>
        <w:t xml:space="preserve">supervisor or </w:t>
      </w:r>
      <w:r w:rsidR="00CB0E78">
        <w:rPr>
          <w:rFonts w:ascii="Times New Roman" w:eastAsia="Times New Roman" w:hAnsi="Times New Roman" w:cs="Times New Roman"/>
          <w:sz w:val="24"/>
          <w:szCs w:val="24"/>
        </w:rPr>
        <w:t>postgraduate P</w:t>
      </w:r>
      <w:r w:rsidR="004265A7">
        <w:rPr>
          <w:rFonts w:ascii="Times New Roman" w:eastAsia="Times New Roman" w:hAnsi="Times New Roman" w:cs="Times New Roman"/>
          <w:sz w:val="24"/>
          <w:szCs w:val="24"/>
        </w:rPr>
        <w:t xml:space="preserve">rogram </w:t>
      </w:r>
      <w:r w:rsidR="00E63A72">
        <w:rPr>
          <w:rFonts w:ascii="Times New Roman" w:eastAsia="Times New Roman" w:hAnsi="Times New Roman" w:cs="Times New Roman"/>
          <w:sz w:val="24"/>
          <w:szCs w:val="24"/>
        </w:rPr>
        <w:t>Director.</w:t>
      </w:r>
    </w:p>
    <w:p w14:paraId="1F49C6A2" w14:textId="3589B859" w:rsidR="002E16E2" w:rsidRPr="001D7DF0" w:rsidRDefault="00110AF2" w:rsidP="00F34528">
      <w:pPr>
        <w:pStyle w:val="Bodytext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DF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D41C6" w:rsidRPr="001D7DF0">
        <w:rPr>
          <w:rFonts w:ascii="Times New Roman" w:hAnsi="Times New Roman" w:cs="Times New Roman"/>
          <w:b/>
          <w:bCs/>
          <w:sz w:val="24"/>
          <w:szCs w:val="24"/>
        </w:rPr>
        <w:t>Available vacancies</w:t>
      </w:r>
    </w:p>
    <w:p w14:paraId="24010716" w14:textId="13064AED" w:rsidR="00110AF2" w:rsidRPr="003D41C6" w:rsidRDefault="001D7DF0" w:rsidP="00F34528">
      <w:pPr>
        <w:pStyle w:val="Bodytext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this first call, t</w:t>
      </w:r>
      <w:r w:rsidR="003D41C6" w:rsidRPr="003D41C6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3D41C6" w:rsidRPr="003D41C6">
        <w:rPr>
          <w:rFonts w:ascii="Times New Roman" w:hAnsi="Times New Roman" w:cs="Times New Roman"/>
          <w:bCs/>
          <w:sz w:val="24"/>
          <w:szCs w:val="24"/>
        </w:rPr>
        <w:t xml:space="preserve"> following vacancies are </w:t>
      </w:r>
      <w:r w:rsidR="00F25E0E">
        <w:rPr>
          <w:rFonts w:ascii="Times New Roman" w:hAnsi="Times New Roman" w:cs="Times New Roman"/>
          <w:bCs/>
          <w:sz w:val="24"/>
          <w:szCs w:val="24"/>
        </w:rPr>
        <w:t xml:space="preserve">available </w:t>
      </w:r>
    </w:p>
    <w:tbl>
      <w:tblPr>
        <w:tblW w:w="4933" w:type="pct"/>
        <w:tblLook w:val="04A0" w:firstRow="1" w:lastRow="0" w:firstColumn="1" w:lastColumn="0" w:noHBand="0" w:noVBand="1"/>
      </w:tblPr>
      <w:tblGrid>
        <w:gridCol w:w="3590"/>
        <w:gridCol w:w="1442"/>
        <w:gridCol w:w="1337"/>
        <w:gridCol w:w="1722"/>
        <w:gridCol w:w="1259"/>
      </w:tblGrid>
      <w:tr w:rsidR="00F34528" w:rsidRPr="000A1082" w14:paraId="19CBD8DF" w14:textId="77777777" w:rsidTr="00E65270">
        <w:trPr>
          <w:trHeight w:val="310"/>
        </w:trPr>
        <w:tc>
          <w:tcPr>
            <w:tcW w:w="19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B54F" w14:textId="6231CF4B" w:rsidR="00CA5BCC" w:rsidRPr="007D7129" w:rsidRDefault="003D41C6" w:rsidP="00F34528">
            <w:pPr>
              <w:widowControl/>
              <w:jc w:val="both"/>
              <w:rPr>
                <w:b/>
                <w:bCs/>
                <w:lang w:val="pt-BR" w:eastAsia="en-ZA" w:bidi="ar-SA"/>
              </w:rPr>
            </w:pPr>
            <w:r>
              <w:rPr>
                <w:b/>
                <w:bCs/>
                <w:lang w:val="pt-BR" w:eastAsia="en-ZA" w:bidi="ar-SA"/>
              </w:rPr>
              <w:t>Type of mobility</w:t>
            </w:r>
            <w:r w:rsidR="00CA5BCC" w:rsidRPr="007D7129">
              <w:rPr>
                <w:sz w:val="16"/>
                <w:szCs w:val="16"/>
                <w:lang w:val="pt-BR" w:eastAsia="en-ZA" w:bidi="ar-SA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37536" w14:textId="612AA415" w:rsidR="00CA5BCC" w:rsidRPr="003D41C6" w:rsidRDefault="003D41C6" w:rsidP="00F34528">
            <w:pPr>
              <w:widowControl/>
              <w:jc w:val="both"/>
              <w:rPr>
                <w:b/>
                <w:bCs/>
                <w:lang w:val="en-US" w:eastAsia="en-ZA" w:bidi="ar-SA"/>
              </w:rPr>
            </w:pPr>
            <w:r w:rsidRPr="003D41C6">
              <w:rPr>
                <w:b/>
                <w:bCs/>
                <w:lang w:val="en-US" w:eastAsia="en-ZA" w:bidi="ar-SA"/>
              </w:rPr>
              <w:t>Nr of Vacancies for female people</w:t>
            </w:r>
          </w:p>
        </w:tc>
        <w:tc>
          <w:tcPr>
            <w:tcW w:w="15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46677" w14:textId="3B526E83" w:rsidR="00CA5BCC" w:rsidRPr="003D41C6" w:rsidRDefault="003D41C6" w:rsidP="00F34528">
            <w:pPr>
              <w:widowControl/>
              <w:jc w:val="both"/>
              <w:rPr>
                <w:b/>
                <w:bCs/>
                <w:lang w:val="en-US" w:eastAsia="en-ZA" w:bidi="ar-SA"/>
              </w:rPr>
            </w:pPr>
            <w:r>
              <w:rPr>
                <w:b/>
                <w:bCs/>
                <w:lang w:val="en-US" w:eastAsia="en-ZA" w:bidi="ar-SA"/>
              </w:rPr>
              <w:t>Nr of Vacancie</w:t>
            </w:r>
            <w:r w:rsidRPr="003D41C6">
              <w:rPr>
                <w:b/>
                <w:bCs/>
                <w:lang w:val="en-US" w:eastAsia="en-ZA" w:bidi="ar-SA"/>
              </w:rPr>
              <w:t xml:space="preserve">s for </w:t>
            </w:r>
            <w:r>
              <w:rPr>
                <w:b/>
                <w:bCs/>
                <w:lang w:val="en-US" w:eastAsia="en-ZA" w:bidi="ar-SA"/>
              </w:rPr>
              <w:t xml:space="preserve"> male people</w:t>
            </w:r>
          </w:p>
        </w:tc>
      </w:tr>
      <w:tr w:rsidR="00F34528" w:rsidRPr="00931E90" w14:paraId="3C901E1F" w14:textId="77777777" w:rsidTr="00E65270">
        <w:trPr>
          <w:trHeight w:val="630"/>
        </w:trPr>
        <w:tc>
          <w:tcPr>
            <w:tcW w:w="19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B9D62" w14:textId="77777777" w:rsidR="00CA5BCC" w:rsidRPr="003D41C6" w:rsidRDefault="00CA5BCC" w:rsidP="00F34528">
            <w:pPr>
              <w:widowControl/>
              <w:jc w:val="both"/>
              <w:rPr>
                <w:b/>
                <w:bCs/>
                <w:lang w:val="en-US" w:eastAsia="en-ZA" w:bidi="ar-SA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7F2F" w14:textId="6F8FFAC0" w:rsidR="00CA5BCC" w:rsidRPr="003D41C6" w:rsidRDefault="00E65270" w:rsidP="00F34528">
            <w:pPr>
              <w:widowControl/>
              <w:jc w:val="both"/>
              <w:rPr>
                <w:lang w:val="en-US" w:eastAsia="en-ZA" w:bidi="ar-SA"/>
              </w:rPr>
            </w:pPr>
            <w:r>
              <w:rPr>
                <w:lang w:val="en-US" w:eastAsia="en-ZA" w:bidi="ar-SA"/>
              </w:rPr>
              <w:t>Outgoing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0BF5" w14:textId="413BBC08" w:rsidR="00CA5BCC" w:rsidRPr="003D41C6" w:rsidRDefault="00E65270" w:rsidP="00F34528">
            <w:pPr>
              <w:widowControl/>
              <w:jc w:val="both"/>
              <w:rPr>
                <w:lang w:val="en-US" w:eastAsia="en-ZA" w:bidi="ar-SA"/>
              </w:rPr>
            </w:pPr>
            <w:r>
              <w:rPr>
                <w:lang w:val="en-US" w:eastAsia="en-ZA" w:bidi="ar-SA"/>
              </w:rPr>
              <w:t>incoming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A6B3" w14:textId="5080A41C" w:rsidR="00CA5BCC" w:rsidRPr="003D41C6" w:rsidRDefault="00E65270" w:rsidP="00F34528">
            <w:pPr>
              <w:widowControl/>
              <w:jc w:val="both"/>
              <w:rPr>
                <w:lang w:val="en-US" w:eastAsia="en-ZA" w:bidi="ar-SA"/>
              </w:rPr>
            </w:pPr>
            <w:r>
              <w:rPr>
                <w:lang w:val="en-US" w:eastAsia="en-ZA" w:bidi="ar-SA"/>
              </w:rPr>
              <w:t>outgoing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3DBB2" w14:textId="5546E999" w:rsidR="00CA5BCC" w:rsidRPr="003D41C6" w:rsidRDefault="00E65270" w:rsidP="00F34528">
            <w:pPr>
              <w:widowControl/>
              <w:jc w:val="both"/>
              <w:rPr>
                <w:lang w:val="en-US" w:eastAsia="en-ZA" w:bidi="ar-SA"/>
              </w:rPr>
            </w:pPr>
            <w:r>
              <w:rPr>
                <w:lang w:val="en-US" w:eastAsia="en-ZA" w:bidi="ar-SA"/>
              </w:rPr>
              <w:t>incoming</w:t>
            </w:r>
          </w:p>
        </w:tc>
      </w:tr>
      <w:tr w:rsidR="00DF1812" w:rsidRPr="007D7129" w14:paraId="09DB7E55" w14:textId="77777777" w:rsidTr="00CB0E78">
        <w:trPr>
          <w:trHeight w:val="940"/>
        </w:trPr>
        <w:tc>
          <w:tcPr>
            <w:tcW w:w="1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9D30" w14:textId="26A97105" w:rsidR="00DF1812" w:rsidRPr="00B42546" w:rsidRDefault="00DF1812" w:rsidP="00DF1812">
            <w:pPr>
              <w:widowControl/>
              <w:jc w:val="both"/>
              <w:rPr>
                <w:lang w:val="en-US" w:eastAsia="en-ZA" w:bidi="ar-SA"/>
              </w:rPr>
            </w:pPr>
            <w:r>
              <w:rPr>
                <w:lang w:val="en-US" w:eastAsia="en-ZA" w:bidi="ar-SA"/>
              </w:rPr>
              <w:t>National p</w:t>
            </w:r>
            <w:r w:rsidRPr="00B42546">
              <w:rPr>
                <w:lang w:val="en-US" w:eastAsia="en-ZA" w:bidi="ar-SA"/>
              </w:rPr>
              <w:t>hysic</w:t>
            </w:r>
            <w:r>
              <w:rPr>
                <w:lang w:val="en-US" w:eastAsia="en-ZA" w:bidi="ar-SA"/>
              </w:rPr>
              <w:t>al exchange</w:t>
            </w:r>
            <w:r w:rsidRPr="00B42546">
              <w:rPr>
                <w:lang w:val="en-US" w:eastAsia="en-ZA" w:bidi="ar-SA"/>
              </w:rPr>
              <w:t xml:space="preserve"> for </w:t>
            </w:r>
            <w:r>
              <w:rPr>
                <w:lang w:val="en-US" w:eastAsia="en-ZA" w:bidi="ar-SA"/>
              </w:rPr>
              <w:t>Lecturers</w:t>
            </w:r>
            <w:r w:rsidRPr="00B42546">
              <w:rPr>
                <w:lang w:val="en-US" w:eastAsia="en-ZA" w:bidi="ar-SA"/>
              </w:rPr>
              <w:t xml:space="preserve">, </w:t>
            </w:r>
            <w:r>
              <w:rPr>
                <w:lang w:val="en-US" w:eastAsia="en-ZA" w:bidi="ar-SA"/>
              </w:rPr>
              <w:t>researchers</w:t>
            </w:r>
            <w:r w:rsidRPr="00B42546">
              <w:rPr>
                <w:lang w:val="en-US" w:eastAsia="en-ZA" w:bidi="ar-SA"/>
              </w:rPr>
              <w:t>, Technic</w:t>
            </w:r>
            <w:r>
              <w:rPr>
                <w:lang w:val="en-US" w:eastAsia="en-ZA" w:bidi="ar-SA"/>
              </w:rPr>
              <w:t>al and administrative staff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D3CF7" w14:textId="724C355B" w:rsidR="00DF1812" w:rsidRPr="007D7129" w:rsidRDefault="00DF1812" w:rsidP="00DF1812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89EC7" w14:textId="7417CE38" w:rsidR="00DF1812" w:rsidRPr="007D7129" w:rsidRDefault="00DF1812" w:rsidP="00DF1812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10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02A55" w14:textId="090A6FAE" w:rsidR="00DF1812" w:rsidRPr="007D7129" w:rsidRDefault="00DF1812" w:rsidP="00DF1812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4EA40" w14:textId="59C7CF75" w:rsidR="00DF1812" w:rsidRPr="007D7129" w:rsidRDefault="00DF1812" w:rsidP="00DF1812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10</w:t>
            </w:r>
          </w:p>
        </w:tc>
      </w:tr>
      <w:tr w:rsidR="00DF1812" w:rsidRPr="007D7129" w14:paraId="2CDF8CA9" w14:textId="77777777" w:rsidTr="00CB0E78">
        <w:trPr>
          <w:trHeight w:val="940"/>
        </w:trPr>
        <w:tc>
          <w:tcPr>
            <w:tcW w:w="1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37A1" w14:textId="3FDBA7D7" w:rsidR="00DF1812" w:rsidRPr="00B42546" w:rsidRDefault="00DF1812" w:rsidP="00DF1812">
            <w:pPr>
              <w:widowControl/>
              <w:jc w:val="both"/>
              <w:rPr>
                <w:lang w:val="en-US" w:eastAsia="en-ZA" w:bidi="ar-SA"/>
              </w:rPr>
            </w:pPr>
            <w:r w:rsidRPr="00B42546">
              <w:rPr>
                <w:lang w:val="en-US" w:eastAsia="en-ZA" w:bidi="ar-SA"/>
              </w:rPr>
              <w:t xml:space="preserve">Regional </w:t>
            </w:r>
            <w:r>
              <w:rPr>
                <w:lang w:val="en-US" w:eastAsia="en-ZA" w:bidi="ar-SA"/>
              </w:rPr>
              <w:t>p</w:t>
            </w:r>
            <w:r w:rsidRPr="00B42546">
              <w:rPr>
                <w:lang w:val="en-US" w:eastAsia="en-ZA" w:bidi="ar-SA"/>
              </w:rPr>
              <w:t>hysic</w:t>
            </w:r>
            <w:r>
              <w:rPr>
                <w:lang w:val="en-US" w:eastAsia="en-ZA" w:bidi="ar-SA"/>
              </w:rPr>
              <w:t>al exchange</w:t>
            </w:r>
            <w:r w:rsidRPr="00B42546">
              <w:rPr>
                <w:lang w:val="en-US" w:eastAsia="en-ZA" w:bidi="ar-SA"/>
              </w:rPr>
              <w:t xml:space="preserve"> for </w:t>
            </w:r>
            <w:r>
              <w:rPr>
                <w:lang w:val="en-US" w:eastAsia="en-ZA" w:bidi="ar-SA"/>
              </w:rPr>
              <w:t>Lecturers</w:t>
            </w:r>
            <w:r w:rsidRPr="00B42546">
              <w:rPr>
                <w:lang w:val="en-US" w:eastAsia="en-ZA" w:bidi="ar-SA"/>
              </w:rPr>
              <w:t xml:space="preserve">, </w:t>
            </w:r>
            <w:r>
              <w:rPr>
                <w:lang w:val="en-US" w:eastAsia="en-ZA" w:bidi="ar-SA"/>
              </w:rPr>
              <w:t>researchers</w:t>
            </w:r>
            <w:r w:rsidRPr="00B42546">
              <w:rPr>
                <w:lang w:val="en-US" w:eastAsia="en-ZA" w:bidi="ar-SA"/>
              </w:rPr>
              <w:t>, Technic</w:t>
            </w:r>
            <w:r>
              <w:rPr>
                <w:lang w:val="en-US" w:eastAsia="en-ZA" w:bidi="ar-SA"/>
              </w:rPr>
              <w:t>al and administrative staff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F089" w14:textId="6EC53033" w:rsidR="00DF1812" w:rsidRPr="007D7129" w:rsidRDefault="00DF1812" w:rsidP="00DF1812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20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C7177" w14:textId="5FCD1579" w:rsidR="00DF1812" w:rsidRPr="007D7129" w:rsidRDefault="00DF1812" w:rsidP="00DF1812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20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9B6D2" w14:textId="5A492EE0" w:rsidR="00DF1812" w:rsidRPr="007D7129" w:rsidRDefault="00DF1812" w:rsidP="00DF1812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20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79944" w14:textId="1C9ADD02" w:rsidR="00DF1812" w:rsidRPr="007D7129" w:rsidRDefault="00DF1812" w:rsidP="00DF1812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20</w:t>
            </w:r>
          </w:p>
        </w:tc>
      </w:tr>
      <w:tr w:rsidR="00DF1812" w:rsidRPr="007D7129" w14:paraId="1B2ECEDA" w14:textId="77777777" w:rsidTr="00CB0E78">
        <w:trPr>
          <w:trHeight w:val="630"/>
        </w:trPr>
        <w:tc>
          <w:tcPr>
            <w:tcW w:w="1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BAFEE" w14:textId="34F140E9" w:rsidR="00DF1812" w:rsidRPr="00B42546" w:rsidRDefault="00DF1812" w:rsidP="00DF1812">
            <w:pPr>
              <w:widowControl/>
              <w:jc w:val="both"/>
              <w:rPr>
                <w:lang w:val="en-US" w:eastAsia="en-ZA" w:bidi="ar-SA"/>
              </w:rPr>
            </w:pPr>
            <w:r>
              <w:rPr>
                <w:lang w:val="en-US" w:eastAsia="en-ZA" w:bidi="ar-SA"/>
              </w:rPr>
              <w:t>National p</w:t>
            </w:r>
            <w:r w:rsidRPr="00B42546">
              <w:rPr>
                <w:lang w:val="en-US" w:eastAsia="en-ZA" w:bidi="ar-SA"/>
              </w:rPr>
              <w:t>hysic</w:t>
            </w:r>
            <w:r>
              <w:rPr>
                <w:lang w:val="en-US" w:eastAsia="en-ZA" w:bidi="ar-SA"/>
              </w:rPr>
              <w:t>al exchange for students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90193" w14:textId="0A7FC236" w:rsidR="00DF1812" w:rsidRPr="007D7129" w:rsidRDefault="00DF1812" w:rsidP="00DF1812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E1C27" w14:textId="59519879" w:rsidR="00DF1812" w:rsidRPr="007D7129" w:rsidRDefault="00DF1812" w:rsidP="00DF1812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ABD0B" w14:textId="54DFEBD1" w:rsidR="00DF1812" w:rsidRPr="007D7129" w:rsidRDefault="00DF1812" w:rsidP="00DF1812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3144F" w14:textId="51061CF6" w:rsidR="00DF1812" w:rsidRPr="007D7129" w:rsidRDefault="00DF1812" w:rsidP="00DF1812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5</w:t>
            </w:r>
          </w:p>
        </w:tc>
      </w:tr>
      <w:tr w:rsidR="00DF1812" w:rsidRPr="007D7129" w14:paraId="2E9E1C83" w14:textId="77777777" w:rsidTr="00E65270">
        <w:trPr>
          <w:trHeight w:val="630"/>
        </w:trPr>
        <w:tc>
          <w:tcPr>
            <w:tcW w:w="1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244DA" w14:textId="61FBFA53" w:rsidR="00DF1812" w:rsidRPr="00CB0E78" w:rsidRDefault="00DF1812" w:rsidP="00DF1812">
            <w:pPr>
              <w:widowControl/>
              <w:jc w:val="both"/>
              <w:rPr>
                <w:lang w:val="en-US" w:eastAsia="en-ZA" w:bidi="ar-SA"/>
              </w:rPr>
            </w:pPr>
            <w:r w:rsidRPr="00CB0E78">
              <w:rPr>
                <w:lang w:val="en-US" w:eastAsia="en-ZA" w:bidi="ar-SA"/>
              </w:rPr>
              <w:t xml:space="preserve">Regional </w:t>
            </w:r>
            <w:r>
              <w:rPr>
                <w:lang w:val="en-US" w:eastAsia="en-ZA" w:bidi="ar-SA"/>
              </w:rPr>
              <w:t>p</w:t>
            </w:r>
            <w:r w:rsidRPr="00B42546">
              <w:rPr>
                <w:lang w:val="en-US" w:eastAsia="en-ZA" w:bidi="ar-SA"/>
              </w:rPr>
              <w:t>hysic</w:t>
            </w:r>
            <w:r>
              <w:rPr>
                <w:lang w:val="en-US" w:eastAsia="en-ZA" w:bidi="ar-SA"/>
              </w:rPr>
              <w:t>al exchange for students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6039" w14:textId="63E2A19C" w:rsidR="00DF1812" w:rsidRPr="007D7129" w:rsidRDefault="00DF1812" w:rsidP="00DF1812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50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3C75" w14:textId="3947B97F" w:rsidR="00DF1812" w:rsidRPr="007D7129" w:rsidRDefault="00DF1812" w:rsidP="00DF1812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50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0E7F" w14:textId="25FDFBE4" w:rsidR="00DF1812" w:rsidRPr="007D7129" w:rsidRDefault="00DF1812" w:rsidP="00DF1812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50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0E9A" w14:textId="0CD4AF1D" w:rsidR="00DF1812" w:rsidRPr="007D7129" w:rsidRDefault="00DF1812" w:rsidP="00DF1812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50</w:t>
            </w:r>
          </w:p>
        </w:tc>
      </w:tr>
      <w:tr w:rsidR="00DF1812" w:rsidRPr="007D7129" w14:paraId="6E05D615" w14:textId="77777777" w:rsidTr="00E65270">
        <w:trPr>
          <w:trHeight w:val="310"/>
        </w:trPr>
        <w:tc>
          <w:tcPr>
            <w:tcW w:w="1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D54DD" w14:textId="3A8F80CA" w:rsidR="00DF1812" w:rsidRPr="007D7129" w:rsidRDefault="00DF1812" w:rsidP="00DF1812">
            <w:pPr>
              <w:widowControl/>
              <w:jc w:val="both"/>
              <w:rPr>
                <w:b/>
                <w:bCs/>
                <w:lang w:val="pt-BR" w:eastAsia="en-ZA" w:bidi="ar-SA"/>
              </w:rPr>
            </w:pPr>
            <w:r w:rsidRPr="007D7129">
              <w:rPr>
                <w:b/>
                <w:bCs/>
                <w:lang w:val="pt-BR" w:eastAsia="en-ZA" w:bidi="ar-SA"/>
              </w:rPr>
              <w:t>TOTAL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0D7BFA" w14:textId="21D240C8" w:rsidR="00DF1812" w:rsidRPr="00726474" w:rsidRDefault="00DF1812" w:rsidP="00DF1812">
            <w:pPr>
              <w:widowControl/>
              <w:jc w:val="center"/>
              <w:rPr>
                <w:rFonts w:ascii="Calibri" w:hAnsi="Calibri"/>
                <w:sz w:val="22"/>
                <w:szCs w:val="22"/>
                <w:lang w:val="pt-BR" w:eastAsia="en-ZA" w:bidi="ar-SA"/>
              </w:rPr>
            </w:pPr>
            <w:r>
              <w:rPr>
                <w:rFonts w:ascii="Calibri" w:hAnsi="Calibri"/>
                <w:sz w:val="22"/>
                <w:szCs w:val="22"/>
                <w:lang w:val="pt-BR" w:eastAsia="en-ZA" w:bidi="ar-SA"/>
              </w:rPr>
              <w:t>85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59E98E" w14:textId="5782999B" w:rsidR="00DF1812" w:rsidRPr="00726474" w:rsidRDefault="00DF1812" w:rsidP="00DF1812">
            <w:pPr>
              <w:widowControl/>
              <w:jc w:val="center"/>
              <w:rPr>
                <w:rFonts w:ascii="Calibri" w:hAnsi="Calibri"/>
                <w:sz w:val="22"/>
                <w:szCs w:val="22"/>
                <w:lang w:val="pt-BR" w:eastAsia="en-ZA" w:bidi="ar-SA"/>
              </w:rPr>
            </w:pPr>
            <w:r>
              <w:rPr>
                <w:rFonts w:ascii="Calibri" w:hAnsi="Calibri"/>
                <w:sz w:val="22"/>
                <w:szCs w:val="22"/>
                <w:lang w:val="pt-BR" w:eastAsia="en-ZA" w:bidi="ar-SA"/>
              </w:rPr>
              <w:t>85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61CE39" w14:textId="1D877BBB" w:rsidR="00DF1812" w:rsidRPr="00726474" w:rsidRDefault="00DF1812" w:rsidP="00DF1812">
            <w:pPr>
              <w:widowControl/>
              <w:jc w:val="center"/>
              <w:rPr>
                <w:rFonts w:ascii="Calibri" w:hAnsi="Calibri"/>
                <w:sz w:val="22"/>
                <w:szCs w:val="22"/>
                <w:lang w:val="pt-BR" w:eastAsia="en-ZA" w:bidi="ar-SA"/>
              </w:rPr>
            </w:pPr>
            <w:r>
              <w:rPr>
                <w:rFonts w:ascii="Calibri" w:hAnsi="Calibri"/>
                <w:sz w:val="22"/>
                <w:szCs w:val="22"/>
                <w:lang w:val="pt-BR" w:eastAsia="en-ZA" w:bidi="ar-SA"/>
              </w:rPr>
              <w:t>85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107D2" w14:textId="03439F81" w:rsidR="00DF1812" w:rsidRPr="00726474" w:rsidRDefault="00DF1812" w:rsidP="00DF1812">
            <w:pPr>
              <w:widowControl/>
              <w:jc w:val="center"/>
              <w:rPr>
                <w:rFonts w:ascii="Calibri" w:hAnsi="Calibri"/>
                <w:sz w:val="22"/>
                <w:szCs w:val="22"/>
                <w:lang w:val="pt-BR" w:eastAsia="en-ZA" w:bidi="ar-SA"/>
              </w:rPr>
            </w:pPr>
            <w:r>
              <w:rPr>
                <w:rFonts w:ascii="Calibri" w:hAnsi="Calibri"/>
                <w:sz w:val="22"/>
                <w:szCs w:val="22"/>
                <w:lang w:val="pt-BR" w:eastAsia="en-ZA" w:bidi="ar-SA"/>
              </w:rPr>
              <w:t>85</w:t>
            </w:r>
          </w:p>
        </w:tc>
      </w:tr>
    </w:tbl>
    <w:p w14:paraId="3096D5D1" w14:textId="77777777" w:rsidR="008F73BB" w:rsidRDefault="008F73BB" w:rsidP="00E65270">
      <w:pPr>
        <w:pStyle w:val="Bodytext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180D2D3" w14:textId="36748ECB" w:rsidR="00172035" w:rsidRPr="001D7DF0" w:rsidRDefault="00E65270" w:rsidP="00E65270">
      <w:pPr>
        <w:pStyle w:val="Bodytext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65270">
        <w:rPr>
          <w:rFonts w:ascii="Times New Roman" w:hAnsi="Times New Roman" w:cs="Times New Roman"/>
          <w:b/>
          <w:bCs/>
          <w:sz w:val="24"/>
          <w:szCs w:val="24"/>
          <w:lang w:val="en-GB"/>
        </w:rPr>
        <w:t>Note: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D7DF0" w:rsidRPr="001D7DF0">
        <w:rPr>
          <w:rFonts w:ascii="Times New Roman" w:hAnsi="Times New Roman" w:cs="Times New Roman"/>
          <w:bCs/>
          <w:sz w:val="24"/>
          <w:szCs w:val="24"/>
        </w:rPr>
        <w:t xml:space="preserve">All the </w:t>
      </w:r>
      <w:r w:rsidR="00F25E0E">
        <w:rPr>
          <w:rFonts w:ascii="Times New Roman" w:hAnsi="Times New Roman" w:cs="Times New Roman"/>
          <w:bCs/>
          <w:sz w:val="24"/>
          <w:szCs w:val="24"/>
        </w:rPr>
        <w:t>lecturers</w:t>
      </w:r>
      <w:r w:rsidR="001D7DF0" w:rsidRPr="001D7DF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B22DC" w:rsidRPr="001D7DF0">
        <w:rPr>
          <w:rFonts w:ascii="Times New Roman" w:hAnsi="Times New Roman" w:cs="Times New Roman"/>
          <w:bCs/>
          <w:sz w:val="24"/>
          <w:szCs w:val="24"/>
        </w:rPr>
        <w:t>researchers</w:t>
      </w:r>
      <w:r w:rsidR="001D7DF0" w:rsidRPr="001D7D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DF0">
        <w:rPr>
          <w:rFonts w:ascii="Times New Roman" w:hAnsi="Times New Roman" w:cs="Times New Roman"/>
          <w:bCs/>
          <w:sz w:val="24"/>
          <w:szCs w:val="24"/>
        </w:rPr>
        <w:t>and</w:t>
      </w:r>
      <w:r w:rsidR="001D7DF0" w:rsidRPr="001D7D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DF0">
        <w:rPr>
          <w:rFonts w:ascii="Times New Roman" w:hAnsi="Times New Roman" w:cs="Times New Roman"/>
          <w:bCs/>
          <w:sz w:val="24"/>
          <w:szCs w:val="24"/>
        </w:rPr>
        <w:t>pos</w:t>
      </w:r>
      <w:r w:rsidR="001D7DF0" w:rsidRPr="001D7DF0">
        <w:rPr>
          <w:rFonts w:ascii="Times New Roman" w:hAnsi="Times New Roman" w:cs="Times New Roman"/>
          <w:bCs/>
          <w:sz w:val="24"/>
          <w:szCs w:val="24"/>
        </w:rPr>
        <w:t xml:space="preserve">tgraduate students </w:t>
      </w:r>
      <w:r w:rsidR="00F25E0E">
        <w:rPr>
          <w:rFonts w:ascii="Times New Roman" w:hAnsi="Times New Roman" w:cs="Times New Roman"/>
          <w:bCs/>
          <w:sz w:val="24"/>
          <w:szCs w:val="24"/>
        </w:rPr>
        <w:t xml:space="preserve">of Eduardo Mondlane University </w:t>
      </w:r>
      <w:r w:rsidR="001D7DF0" w:rsidRPr="001D7DF0">
        <w:rPr>
          <w:rFonts w:ascii="Times New Roman" w:hAnsi="Times New Roman" w:cs="Times New Roman"/>
          <w:bCs/>
          <w:sz w:val="24"/>
          <w:szCs w:val="24"/>
        </w:rPr>
        <w:t>work</w:t>
      </w:r>
      <w:r w:rsidR="00F25E0E">
        <w:rPr>
          <w:rFonts w:ascii="Times New Roman" w:hAnsi="Times New Roman" w:cs="Times New Roman"/>
          <w:bCs/>
          <w:sz w:val="24"/>
          <w:szCs w:val="24"/>
        </w:rPr>
        <w:t>ing</w:t>
      </w:r>
      <w:r w:rsidR="001D7DF0" w:rsidRPr="001D7DF0">
        <w:rPr>
          <w:rFonts w:ascii="Times New Roman" w:hAnsi="Times New Roman" w:cs="Times New Roman"/>
          <w:bCs/>
          <w:sz w:val="24"/>
          <w:szCs w:val="24"/>
        </w:rPr>
        <w:t xml:space="preserve"> in the area of agri-food sy</w:t>
      </w:r>
      <w:r w:rsidR="001D7DF0">
        <w:rPr>
          <w:rFonts w:ascii="Times New Roman" w:hAnsi="Times New Roman" w:cs="Times New Roman"/>
          <w:bCs/>
          <w:sz w:val="24"/>
          <w:szCs w:val="24"/>
        </w:rPr>
        <w:t>s</w:t>
      </w:r>
      <w:r w:rsidR="001D7DF0" w:rsidRPr="001D7DF0">
        <w:rPr>
          <w:rFonts w:ascii="Times New Roman" w:hAnsi="Times New Roman" w:cs="Times New Roman"/>
          <w:bCs/>
          <w:sz w:val="24"/>
          <w:szCs w:val="24"/>
        </w:rPr>
        <w:t xml:space="preserve">tems and nutrition </w:t>
      </w:r>
      <w:r w:rsidR="00F25E0E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1D7DF0" w:rsidRPr="001D7DF0">
        <w:rPr>
          <w:rFonts w:ascii="Times New Roman" w:hAnsi="Times New Roman" w:cs="Times New Roman"/>
          <w:bCs/>
          <w:sz w:val="24"/>
          <w:szCs w:val="24"/>
        </w:rPr>
        <w:t>members of</w:t>
      </w:r>
      <w:r w:rsidR="00C81490" w:rsidRPr="001D7DF0">
        <w:rPr>
          <w:rFonts w:ascii="Times New Roman" w:hAnsi="Times New Roman" w:cs="Times New Roman"/>
          <w:bCs/>
        </w:rPr>
        <w:t xml:space="preserve"> CE-AFSN </w:t>
      </w:r>
    </w:p>
    <w:p w14:paraId="26F0678E" w14:textId="77777777" w:rsidR="00110AF2" w:rsidRPr="001D7DF0" w:rsidRDefault="00110AF2" w:rsidP="00F34528">
      <w:pPr>
        <w:pStyle w:val="Bodytext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71287D" w14:textId="750E4867" w:rsidR="00110AF2" w:rsidRPr="001F23FE" w:rsidRDefault="001D7DF0" w:rsidP="00F34528">
      <w:pPr>
        <w:pStyle w:val="Bodytext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3FE">
        <w:rPr>
          <w:rFonts w:ascii="Times New Roman" w:hAnsi="Times New Roman" w:cs="Times New Roman"/>
          <w:b/>
          <w:bCs/>
          <w:sz w:val="24"/>
          <w:szCs w:val="24"/>
        </w:rPr>
        <w:t xml:space="preserve">3. Deadline </w:t>
      </w:r>
      <w:r w:rsidR="008A05AD">
        <w:rPr>
          <w:rFonts w:ascii="Times New Roman" w:hAnsi="Times New Roman" w:cs="Times New Roman"/>
          <w:b/>
          <w:bCs/>
          <w:sz w:val="24"/>
          <w:szCs w:val="24"/>
        </w:rPr>
        <w:t>for aplication</w:t>
      </w:r>
    </w:p>
    <w:p w14:paraId="3231AB1B" w14:textId="10314E53" w:rsidR="00260528" w:rsidRPr="00F35267" w:rsidRDefault="001D7DF0" w:rsidP="00F35267">
      <w:pPr>
        <w:pStyle w:val="Bodytext10"/>
        <w:shd w:val="clear" w:color="auto" w:fill="auto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call is open</w:t>
      </w:r>
      <w:r w:rsidR="00F25E0E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99700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700E" w:rsidRPr="009970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99700E">
        <w:rPr>
          <w:rFonts w:ascii="Times New Roman" w:eastAsia="Times New Roman" w:hAnsi="Times New Roman" w:cs="Times New Roman"/>
          <w:sz w:val="24"/>
          <w:szCs w:val="24"/>
        </w:rPr>
        <w:t xml:space="preserve"> November </w:t>
      </w:r>
      <w:r w:rsidR="00F25E0E">
        <w:rPr>
          <w:rFonts w:ascii="Times New Roman" w:eastAsia="Times New Roman" w:hAnsi="Times New Roman" w:cs="Times New Roman"/>
          <w:sz w:val="24"/>
          <w:szCs w:val="24"/>
        </w:rPr>
        <w:t xml:space="preserve">and closes at </w:t>
      </w:r>
      <w:r w:rsidR="0099700E">
        <w:rPr>
          <w:rFonts w:ascii="Times New Roman" w:eastAsia="Times New Roman" w:hAnsi="Times New Roman" w:cs="Times New Roman"/>
          <w:sz w:val="24"/>
          <w:szCs w:val="24"/>
        </w:rPr>
        <w:t xml:space="preserve">15 December </w:t>
      </w:r>
      <w:r w:rsidRPr="001D7DF0">
        <w:rPr>
          <w:rFonts w:ascii="Times New Roman" w:eastAsia="Times New Roman" w:hAnsi="Times New Roman" w:cs="Times New Roman"/>
          <w:sz w:val="24"/>
          <w:szCs w:val="24"/>
        </w:rPr>
        <w:t xml:space="preserve">2024. The applications shall be submitted by </w:t>
      </w:r>
      <w:r w:rsidR="00DF1FA0" w:rsidRPr="001D7DF0">
        <w:rPr>
          <w:rFonts w:ascii="Times New Roman" w:eastAsia="Times New Roman" w:hAnsi="Times New Roman" w:cs="Times New Roman"/>
          <w:sz w:val="24"/>
          <w:szCs w:val="24"/>
        </w:rPr>
        <w:t>e</w:t>
      </w:r>
      <w:r w:rsidR="000F258C" w:rsidRPr="001D7DF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DF0">
        <w:rPr>
          <w:rFonts w:ascii="Times New Roman" w:eastAsia="Times New Roman" w:hAnsi="Times New Roman" w:cs="Times New Roman"/>
          <w:sz w:val="24"/>
          <w:szCs w:val="24"/>
        </w:rPr>
        <w:t xml:space="preserve">mail to </w:t>
      </w:r>
      <w:hyperlink r:id="rId11" w:history="1">
        <w:r w:rsidR="00D244B5" w:rsidRPr="00B77D4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dir.ceafsn@uem.mz</w:t>
        </w:r>
      </w:hyperlink>
      <w:r w:rsidR="00D24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with CC to </w:t>
      </w:r>
      <w:hyperlink r:id="rId12" w:history="1">
        <w:r w:rsidR="00F35267" w:rsidRPr="008002D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lucas.tivana@yahoo.co.uk</w:t>
        </w:r>
      </w:hyperlink>
      <w:r w:rsidR="00F352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94BAA71" w14:textId="77777777" w:rsidR="008F73BB" w:rsidRDefault="008F73BB" w:rsidP="008F73BB">
      <w:pPr>
        <w:jc w:val="center"/>
        <w:rPr>
          <w:rFonts w:ascii="Comic Sans MS" w:hAnsi="Comic Sans MS"/>
          <w:bCs/>
          <w:lang w:val="en-GB"/>
        </w:rPr>
      </w:pPr>
    </w:p>
    <w:p w14:paraId="2D201619" w14:textId="7B335A91" w:rsidR="008F73BB" w:rsidRDefault="008F73BB" w:rsidP="008F73BB">
      <w:pPr>
        <w:jc w:val="center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 xml:space="preserve">Maputo, </w:t>
      </w:r>
      <w:r w:rsidR="00F35267">
        <w:rPr>
          <w:rFonts w:ascii="Comic Sans MS" w:hAnsi="Comic Sans MS"/>
          <w:bCs/>
          <w:lang w:val="en-GB"/>
        </w:rPr>
        <w:t>November</w:t>
      </w:r>
      <w:r>
        <w:rPr>
          <w:rFonts w:ascii="Comic Sans MS" w:hAnsi="Comic Sans MS"/>
          <w:bCs/>
          <w:lang w:val="en-GB"/>
        </w:rPr>
        <w:t xml:space="preserve"> </w:t>
      </w:r>
      <w:r w:rsidR="00F35267">
        <w:rPr>
          <w:rFonts w:ascii="Comic Sans MS" w:hAnsi="Comic Sans MS"/>
          <w:bCs/>
          <w:lang w:val="en-GB"/>
        </w:rPr>
        <w:t>03</w:t>
      </w:r>
      <w:r w:rsidR="00F35267">
        <w:rPr>
          <w:rFonts w:ascii="Comic Sans MS" w:hAnsi="Comic Sans MS"/>
          <w:bCs/>
          <w:vertAlign w:val="superscript"/>
          <w:lang w:val="en-GB"/>
        </w:rPr>
        <w:t>rd</w:t>
      </w:r>
      <w:r>
        <w:rPr>
          <w:rFonts w:ascii="Comic Sans MS" w:hAnsi="Comic Sans MS"/>
          <w:bCs/>
          <w:lang w:val="en-GB"/>
        </w:rPr>
        <w:t xml:space="preserve"> 2024</w:t>
      </w:r>
    </w:p>
    <w:p w14:paraId="124AD210" w14:textId="77777777" w:rsidR="008F73BB" w:rsidRDefault="008F73BB" w:rsidP="008F73BB">
      <w:pPr>
        <w:jc w:val="center"/>
        <w:rPr>
          <w:rFonts w:ascii="Comic Sans MS" w:hAnsi="Comic Sans MS"/>
          <w:bCs/>
          <w:lang w:val="en-GB"/>
        </w:rPr>
      </w:pPr>
    </w:p>
    <w:p w14:paraId="38DEDB57" w14:textId="77777777" w:rsidR="00EC7BE6" w:rsidRDefault="00EC7BE6" w:rsidP="008F73BB">
      <w:pPr>
        <w:jc w:val="center"/>
        <w:rPr>
          <w:rFonts w:ascii="Comic Sans MS" w:hAnsi="Comic Sans MS"/>
          <w:bCs/>
          <w:lang w:val="en-GB"/>
        </w:rPr>
      </w:pPr>
    </w:p>
    <w:p w14:paraId="72AFB8A8" w14:textId="066A58D7" w:rsidR="008F73BB" w:rsidRDefault="008F73BB" w:rsidP="008F73BB">
      <w:pPr>
        <w:jc w:val="center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>The Director of CE AFSN</w:t>
      </w:r>
    </w:p>
    <w:p w14:paraId="5DC3BDE3" w14:textId="77777777" w:rsidR="00EC7BE6" w:rsidRDefault="00EC7BE6" w:rsidP="008F73BB">
      <w:pPr>
        <w:jc w:val="center"/>
        <w:rPr>
          <w:rFonts w:ascii="Comic Sans MS" w:hAnsi="Comic Sans MS"/>
          <w:bCs/>
          <w:lang w:val="en-GB"/>
        </w:rPr>
      </w:pPr>
    </w:p>
    <w:p w14:paraId="5A4C00F6" w14:textId="77777777" w:rsidR="008F73BB" w:rsidRDefault="008F73BB" w:rsidP="008F73BB">
      <w:pPr>
        <w:jc w:val="center"/>
        <w:rPr>
          <w:rFonts w:ascii="Comic Sans MS" w:hAnsi="Comic Sans MS"/>
          <w:bCs/>
          <w:lang w:val="en-GB"/>
        </w:rPr>
      </w:pPr>
    </w:p>
    <w:p w14:paraId="30CDC7FE" w14:textId="77777777" w:rsidR="008F73BB" w:rsidRDefault="008F73BB" w:rsidP="008F73BB">
      <w:pPr>
        <w:jc w:val="center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lastRenderedPageBreak/>
        <w:t>__________________________</w:t>
      </w:r>
    </w:p>
    <w:p w14:paraId="756EB07A" w14:textId="4E968D69" w:rsidR="00260528" w:rsidRPr="00F35267" w:rsidRDefault="008F73BB" w:rsidP="00F35267">
      <w:pPr>
        <w:jc w:val="center"/>
        <w:rPr>
          <w:rFonts w:ascii="Comic Sans MS" w:hAnsi="Comic Sans MS"/>
          <w:color w:val="auto"/>
          <w:lang w:val="en-GB"/>
        </w:rPr>
      </w:pPr>
      <w:r>
        <w:rPr>
          <w:rFonts w:ascii="Comic Sans MS" w:hAnsi="Comic Sans MS"/>
          <w:bCs/>
          <w:lang w:val="en-GB"/>
        </w:rPr>
        <w:t>(Prof. Rogério Marcos Chiulele)</w:t>
      </w:r>
    </w:p>
    <w:sectPr w:rsidR="00260528" w:rsidRPr="00F35267" w:rsidSect="00D075BF">
      <w:footerReference w:type="default" r:id="rId13"/>
      <w:footnotePr>
        <w:numFmt w:val="upperRoman"/>
      </w:footnotePr>
      <w:pgSz w:w="11900" w:h="16840"/>
      <w:pgMar w:top="1415" w:right="985" w:bottom="1134" w:left="1418" w:header="987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FC1F4" w14:textId="77777777" w:rsidR="00FA505C" w:rsidRDefault="00FA505C">
      <w:r>
        <w:separator/>
      </w:r>
    </w:p>
  </w:endnote>
  <w:endnote w:type="continuationSeparator" w:id="0">
    <w:p w14:paraId="26D99D51" w14:textId="77777777" w:rsidR="00FA505C" w:rsidRDefault="00FA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332283"/>
      <w:docPartObj>
        <w:docPartGallery w:val="Page Numbers (Bottom of Page)"/>
        <w:docPartUnique/>
      </w:docPartObj>
    </w:sdtPr>
    <w:sdtContent>
      <w:p w14:paraId="3BBD83EF" w14:textId="1A7A0BF3" w:rsidR="008F6A41" w:rsidRDefault="007F11E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5B7" w:rsidRPr="002A65B7">
          <w:rPr>
            <w:noProof/>
            <w:lang w:val="pt-BR"/>
          </w:rPr>
          <w:t>2</w:t>
        </w:r>
        <w:r>
          <w:fldChar w:fldCharType="end"/>
        </w:r>
      </w:p>
    </w:sdtContent>
  </w:sdt>
  <w:p w14:paraId="707B354C" w14:textId="77777777" w:rsidR="008F6A41" w:rsidRDefault="008F6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DA1BC" w14:textId="77777777" w:rsidR="00FA505C" w:rsidRDefault="00FA505C">
      <w:r>
        <w:separator/>
      </w:r>
    </w:p>
  </w:footnote>
  <w:footnote w:type="continuationSeparator" w:id="0">
    <w:p w14:paraId="46D9E577" w14:textId="77777777" w:rsidR="00FA505C" w:rsidRDefault="00FA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865"/>
    <w:multiLevelType w:val="hybridMultilevel"/>
    <w:tmpl w:val="A06CDDE2"/>
    <w:lvl w:ilvl="0" w:tplc="C98458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2313"/>
    <w:multiLevelType w:val="hybridMultilevel"/>
    <w:tmpl w:val="D3FE73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6621"/>
    <w:multiLevelType w:val="hybridMultilevel"/>
    <w:tmpl w:val="00A2A9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1070"/>
    <w:multiLevelType w:val="hybridMultilevel"/>
    <w:tmpl w:val="740EBB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27DDC"/>
    <w:multiLevelType w:val="hybridMultilevel"/>
    <w:tmpl w:val="405EA9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9F7"/>
    <w:multiLevelType w:val="hybridMultilevel"/>
    <w:tmpl w:val="CC464F40"/>
    <w:lvl w:ilvl="0" w:tplc="CBF295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D4FC0"/>
    <w:multiLevelType w:val="multilevel"/>
    <w:tmpl w:val="8ABCE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F03948"/>
    <w:multiLevelType w:val="hybridMultilevel"/>
    <w:tmpl w:val="828A4E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20AB"/>
    <w:multiLevelType w:val="hybridMultilevel"/>
    <w:tmpl w:val="D3FE73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97AEB"/>
    <w:multiLevelType w:val="hybridMultilevel"/>
    <w:tmpl w:val="459CFF0C"/>
    <w:lvl w:ilvl="0" w:tplc="DDA6C2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66FF8"/>
    <w:multiLevelType w:val="multilevel"/>
    <w:tmpl w:val="8B5E1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E0460E"/>
    <w:multiLevelType w:val="hybridMultilevel"/>
    <w:tmpl w:val="9344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E131E"/>
    <w:multiLevelType w:val="hybridMultilevel"/>
    <w:tmpl w:val="828A4E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967D9"/>
    <w:multiLevelType w:val="multilevel"/>
    <w:tmpl w:val="9A7E4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B42F5D"/>
    <w:multiLevelType w:val="hybridMultilevel"/>
    <w:tmpl w:val="5412A92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215E10"/>
    <w:multiLevelType w:val="hybridMultilevel"/>
    <w:tmpl w:val="DE228182"/>
    <w:lvl w:ilvl="0" w:tplc="935E299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072A67"/>
    <w:multiLevelType w:val="hybridMultilevel"/>
    <w:tmpl w:val="FBB4CB6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A53437"/>
    <w:multiLevelType w:val="hybridMultilevel"/>
    <w:tmpl w:val="E4A05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006832">
    <w:abstractNumId w:val="6"/>
  </w:num>
  <w:num w:numId="2" w16cid:durableId="899481757">
    <w:abstractNumId w:val="10"/>
  </w:num>
  <w:num w:numId="3" w16cid:durableId="648824714">
    <w:abstractNumId w:val="13"/>
  </w:num>
  <w:num w:numId="4" w16cid:durableId="726412987">
    <w:abstractNumId w:val="17"/>
  </w:num>
  <w:num w:numId="5" w16cid:durableId="686491016">
    <w:abstractNumId w:val="8"/>
  </w:num>
  <w:num w:numId="6" w16cid:durableId="444354013">
    <w:abstractNumId w:val="3"/>
  </w:num>
  <w:num w:numId="7" w16cid:durableId="254556787">
    <w:abstractNumId w:val="16"/>
  </w:num>
  <w:num w:numId="8" w16cid:durableId="694161442">
    <w:abstractNumId w:val="1"/>
  </w:num>
  <w:num w:numId="9" w16cid:durableId="1050377847">
    <w:abstractNumId w:val="14"/>
  </w:num>
  <w:num w:numId="10" w16cid:durableId="85350602">
    <w:abstractNumId w:val="5"/>
  </w:num>
  <w:num w:numId="11" w16cid:durableId="958755141">
    <w:abstractNumId w:val="9"/>
  </w:num>
  <w:num w:numId="12" w16cid:durableId="1112433743">
    <w:abstractNumId w:val="2"/>
  </w:num>
  <w:num w:numId="13" w16cid:durableId="1510097108">
    <w:abstractNumId w:val="0"/>
  </w:num>
  <w:num w:numId="14" w16cid:durableId="680543232">
    <w:abstractNumId w:val="12"/>
  </w:num>
  <w:num w:numId="15" w16cid:durableId="394592537">
    <w:abstractNumId w:val="7"/>
  </w:num>
  <w:num w:numId="16" w16cid:durableId="608657517">
    <w:abstractNumId w:val="11"/>
  </w:num>
  <w:num w:numId="17" w16cid:durableId="2110849642">
    <w:abstractNumId w:val="4"/>
  </w:num>
  <w:num w:numId="18" w16cid:durableId="15306072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PT" w:vendorID="64" w:dllVersion="4096" w:nlCheck="1" w:checkStyle="0"/>
  <w:activeWritingStyle w:appName="MSWord" w:lang="en-ZA" w:vendorID="64" w:dllVersion="6" w:nlCheck="1" w:checkStyle="1"/>
  <w:activeWritingStyle w:appName="MSWord" w:lang="en-ZA" w:vendorID="64" w:dllVersion="4096" w:nlCheck="1" w:checkStyle="0"/>
  <w:activeWritingStyle w:appName="MSWord" w:lang="pt-PT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defaultTabStop w:val="720"/>
  <w:hyphenationZone w:val="425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B4"/>
    <w:rsid w:val="0000571E"/>
    <w:rsid w:val="000456EA"/>
    <w:rsid w:val="0005528C"/>
    <w:rsid w:val="00075B6B"/>
    <w:rsid w:val="00077444"/>
    <w:rsid w:val="000866CD"/>
    <w:rsid w:val="000910E5"/>
    <w:rsid w:val="00091B14"/>
    <w:rsid w:val="000929C2"/>
    <w:rsid w:val="000A1082"/>
    <w:rsid w:val="000C75B3"/>
    <w:rsid w:val="000F258C"/>
    <w:rsid w:val="00110AF2"/>
    <w:rsid w:val="00157CEF"/>
    <w:rsid w:val="00172035"/>
    <w:rsid w:val="00184326"/>
    <w:rsid w:val="00185F79"/>
    <w:rsid w:val="00187653"/>
    <w:rsid w:val="00196D8B"/>
    <w:rsid w:val="001B1D20"/>
    <w:rsid w:val="001B4CE2"/>
    <w:rsid w:val="001B69CE"/>
    <w:rsid w:val="001C00FC"/>
    <w:rsid w:val="001D5E72"/>
    <w:rsid w:val="001D7DF0"/>
    <w:rsid w:val="001E22AC"/>
    <w:rsid w:val="001F1AD9"/>
    <w:rsid w:val="001F23FE"/>
    <w:rsid w:val="00224535"/>
    <w:rsid w:val="00242646"/>
    <w:rsid w:val="00254B6D"/>
    <w:rsid w:val="00260528"/>
    <w:rsid w:val="00262875"/>
    <w:rsid w:val="00262C96"/>
    <w:rsid w:val="00270BF6"/>
    <w:rsid w:val="00273586"/>
    <w:rsid w:val="00287682"/>
    <w:rsid w:val="002A65B7"/>
    <w:rsid w:val="002B1275"/>
    <w:rsid w:val="002B1432"/>
    <w:rsid w:val="002B4DA4"/>
    <w:rsid w:val="002B521B"/>
    <w:rsid w:val="002C74E4"/>
    <w:rsid w:val="002E16E2"/>
    <w:rsid w:val="002F51E2"/>
    <w:rsid w:val="002F63A7"/>
    <w:rsid w:val="002F6AA7"/>
    <w:rsid w:val="00301EE4"/>
    <w:rsid w:val="003172AE"/>
    <w:rsid w:val="00317373"/>
    <w:rsid w:val="00322EC9"/>
    <w:rsid w:val="003307BA"/>
    <w:rsid w:val="003309A6"/>
    <w:rsid w:val="0033270E"/>
    <w:rsid w:val="00333DAA"/>
    <w:rsid w:val="003348FD"/>
    <w:rsid w:val="00354429"/>
    <w:rsid w:val="0035620B"/>
    <w:rsid w:val="00360C76"/>
    <w:rsid w:val="00367C6D"/>
    <w:rsid w:val="0037674B"/>
    <w:rsid w:val="003843E1"/>
    <w:rsid w:val="003924CF"/>
    <w:rsid w:val="003A1C2E"/>
    <w:rsid w:val="003D41C6"/>
    <w:rsid w:val="003D6015"/>
    <w:rsid w:val="003D7303"/>
    <w:rsid w:val="003E660E"/>
    <w:rsid w:val="003E6941"/>
    <w:rsid w:val="003F31E8"/>
    <w:rsid w:val="003F3361"/>
    <w:rsid w:val="004265A7"/>
    <w:rsid w:val="00434602"/>
    <w:rsid w:val="00457CAC"/>
    <w:rsid w:val="00480AA6"/>
    <w:rsid w:val="0049267C"/>
    <w:rsid w:val="004A301A"/>
    <w:rsid w:val="004A7206"/>
    <w:rsid w:val="004C1021"/>
    <w:rsid w:val="004C2496"/>
    <w:rsid w:val="004D7D00"/>
    <w:rsid w:val="004E4A65"/>
    <w:rsid w:val="004E6046"/>
    <w:rsid w:val="004F0A29"/>
    <w:rsid w:val="00504243"/>
    <w:rsid w:val="00517EF4"/>
    <w:rsid w:val="00521630"/>
    <w:rsid w:val="0052284A"/>
    <w:rsid w:val="005261BB"/>
    <w:rsid w:val="00531081"/>
    <w:rsid w:val="00531DEF"/>
    <w:rsid w:val="0055221F"/>
    <w:rsid w:val="00565993"/>
    <w:rsid w:val="0057501C"/>
    <w:rsid w:val="00586298"/>
    <w:rsid w:val="00590FDF"/>
    <w:rsid w:val="005E1C0E"/>
    <w:rsid w:val="005E66BF"/>
    <w:rsid w:val="005F0A3F"/>
    <w:rsid w:val="0061062E"/>
    <w:rsid w:val="00612D2E"/>
    <w:rsid w:val="00625B30"/>
    <w:rsid w:val="006549FB"/>
    <w:rsid w:val="0066219A"/>
    <w:rsid w:val="006A1650"/>
    <w:rsid w:val="006A70F6"/>
    <w:rsid w:val="006A7A2D"/>
    <w:rsid w:val="006B0C84"/>
    <w:rsid w:val="006B5A8E"/>
    <w:rsid w:val="006F62DB"/>
    <w:rsid w:val="0071069A"/>
    <w:rsid w:val="00712443"/>
    <w:rsid w:val="00720BF7"/>
    <w:rsid w:val="00726474"/>
    <w:rsid w:val="007410BF"/>
    <w:rsid w:val="00742792"/>
    <w:rsid w:val="0074323B"/>
    <w:rsid w:val="00751FB4"/>
    <w:rsid w:val="00753E3A"/>
    <w:rsid w:val="00755FE8"/>
    <w:rsid w:val="007668B2"/>
    <w:rsid w:val="007916E3"/>
    <w:rsid w:val="007A6D5B"/>
    <w:rsid w:val="007C2058"/>
    <w:rsid w:val="007D0B33"/>
    <w:rsid w:val="007D4FB5"/>
    <w:rsid w:val="007D7129"/>
    <w:rsid w:val="007E1648"/>
    <w:rsid w:val="007E64C6"/>
    <w:rsid w:val="007F11E6"/>
    <w:rsid w:val="007F6675"/>
    <w:rsid w:val="00803D32"/>
    <w:rsid w:val="00810BB5"/>
    <w:rsid w:val="00812E32"/>
    <w:rsid w:val="00817E64"/>
    <w:rsid w:val="008219E4"/>
    <w:rsid w:val="00830B0F"/>
    <w:rsid w:val="008311EB"/>
    <w:rsid w:val="008318BB"/>
    <w:rsid w:val="00861368"/>
    <w:rsid w:val="00862C2E"/>
    <w:rsid w:val="0087673C"/>
    <w:rsid w:val="008813C5"/>
    <w:rsid w:val="008819DC"/>
    <w:rsid w:val="0088327D"/>
    <w:rsid w:val="00884942"/>
    <w:rsid w:val="00895709"/>
    <w:rsid w:val="008A05AD"/>
    <w:rsid w:val="008A20ED"/>
    <w:rsid w:val="008B0A43"/>
    <w:rsid w:val="008B2125"/>
    <w:rsid w:val="008C4ED1"/>
    <w:rsid w:val="008D0567"/>
    <w:rsid w:val="008E6A84"/>
    <w:rsid w:val="008F6A41"/>
    <w:rsid w:val="008F73BB"/>
    <w:rsid w:val="009031CB"/>
    <w:rsid w:val="009147BF"/>
    <w:rsid w:val="00916055"/>
    <w:rsid w:val="00931E90"/>
    <w:rsid w:val="0093397C"/>
    <w:rsid w:val="0093748E"/>
    <w:rsid w:val="009663CF"/>
    <w:rsid w:val="00967863"/>
    <w:rsid w:val="00970672"/>
    <w:rsid w:val="00970AFA"/>
    <w:rsid w:val="00975290"/>
    <w:rsid w:val="00976572"/>
    <w:rsid w:val="009811F4"/>
    <w:rsid w:val="009813CA"/>
    <w:rsid w:val="0098410E"/>
    <w:rsid w:val="00991F32"/>
    <w:rsid w:val="009939CC"/>
    <w:rsid w:val="0099700E"/>
    <w:rsid w:val="009B6805"/>
    <w:rsid w:val="009B7C97"/>
    <w:rsid w:val="009C4307"/>
    <w:rsid w:val="009C65D5"/>
    <w:rsid w:val="009E132E"/>
    <w:rsid w:val="009E333E"/>
    <w:rsid w:val="009F34C6"/>
    <w:rsid w:val="00A05188"/>
    <w:rsid w:val="00A05D55"/>
    <w:rsid w:val="00A154D4"/>
    <w:rsid w:val="00A20C6F"/>
    <w:rsid w:val="00A41CF4"/>
    <w:rsid w:val="00A4254F"/>
    <w:rsid w:val="00A517C9"/>
    <w:rsid w:val="00A56330"/>
    <w:rsid w:val="00A8353F"/>
    <w:rsid w:val="00A90142"/>
    <w:rsid w:val="00A94255"/>
    <w:rsid w:val="00A96BA0"/>
    <w:rsid w:val="00AA0493"/>
    <w:rsid w:val="00AF6F6F"/>
    <w:rsid w:val="00B026BC"/>
    <w:rsid w:val="00B053C3"/>
    <w:rsid w:val="00B13C68"/>
    <w:rsid w:val="00B1670D"/>
    <w:rsid w:val="00B2232A"/>
    <w:rsid w:val="00B371E8"/>
    <w:rsid w:val="00B42546"/>
    <w:rsid w:val="00B541FF"/>
    <w:rsid w:val="00B62B4C"/>
    <w:rsid w:val="00B80FED"/>
    <w:rsid w:val="00B91C4D"/>
    <w:rsid w:val="00BA3808"/>
    <w:rsid w:val="00BB2FBB"/>
    <w:rsid w:val="00BB491D"/>
    <w:rsid w:val="00BD168A"/>
    <w:rsid w:val="00C0259A"/>
    <w:rsid w:val="00C11585"/>
    <w:rsid w:val="00C15B09"/>
    <w:rsid w:val="00C309F5"/>
    <w:rsid w:val="00C32C5F"/>
    <w:rsid w:val="00C52997"/>
    <w:rsid w:val="00C52F97"/>
    <w:rsid w:val="00C53E61"/>
    <w:rsid w:val="00C81490"/>
    <w:rsid w:val="00CA32FF"/>
    <w:rsid w:val="00CA4D92"/>
    <w:rsid w:val="00CA5BCC"/>
    <w:rsid w:val="00CB0E78"/>
    <w:rsid w:val="00CB3B61"/>
    <w:rsid w:val="00CC4BE8"/>
    <w:rsid w:val="00CE2251"/>
    <w:rsid w:val="00CE36CF"/>
    <w:rsid w:val="00CF08C3"/>
    <w:rsid w:val="00CF6B97"/>
    <w:rsid w:val="00D011ED"/>
    <w:rsid w:val="00D01331"/>
    <w:rsid w:val="00D075BF"/>
    <w:rsid w:val="00D10E06"/>
    <w:rsid w:val="00D119C8"/>
    <w:rsid w:val="00D22AEF"/>
    <w:rsid w:val="00D244B5"/>
    <w:rsid w:val="00D318DC"/>
    <w:rsid w:val="00D3403E"/>
    <w:rsid w:val="00D41C45"/>
    <w:rsid w:val="00D54D0E"/>
    <w:rsid w:val="00D72E60"/>
    <w:rsid w:val="00D810D7"/>
    <w:rsid w:val="00D82FA1"/>
    <w:rsid w:val="00D84EDE"/>
    <w:rsid w:val="00D94095"/>
    <w:rsid w:val="00DA3372"/>
    <w:rsid w:val="00DD31CF"/>
    <w:rsid w:val="00DD5743"/>
    <w:rsid w:val="00DE48A4"/>
    <w:rsid w:val="00DF1812"/>
    <w:rsid w:val="00DF1FA0"/>
    <w:rsid w:val="00E14CC8"/>
    <w:rsid w:val="00E26643"/>
    <w:rsid w:val="00E54336"/>
    <w:rsid w:val="00E63A72"/>
    <w:rsid w:val="00E65270"/>
    <w:rsid w:val="00E66735"/>
    <w:rsid w:val="00E70780"/>
    <w:rsid w:val="00E95BF1"/>
    <w:rsid w:val="00EA677A"/>
    <w:rsid w:val="00EB18F3"/>
    <w:rsid w:val="00EB22DC"/>
    <w:rsid w:val="00EC02E6"/>
    <w:rsid w:val="00EC7BE6"/>
    <w:rsid w:val="00ED02D6"/>
    <w:rsid w:val="00ED4794"/>
    <w:rsid w:val="00ED579C"/>
    <w:rsid w:val="00EF1141"/>
    <w:rsid w:val="00F04375"/>
    <w:rsid w:val="00F247F0"/>
    <w:rsid w:val="00F25E0E"/>
    <w:rsid w:val="00F2759A"/>
    <w:rsid w:val="00F27ECC"/>
    <w:rsid w:val="00F33FE2"/>
    <w:rsid w:val="00F34528"/>
    <w:rsid w:val="00F35267"/>
    <w:rsid w:val="00F41870"/>
    <w:rsid w:val="00F42249"/>
    <w:rsid w:val="00F42DEB"/>
    <w:rsid w:val="00F72C90"/>
    <w:rsid w:val="00F76316"/>
    <w:rsid w:val="00F773B0"/>
    <w:rsid w:val="00F87A33"/>
    <w:rsid w:val="00F87F60"/>
    <w:rsid w:val="00FA3958"/>
    <w:rsid w:val="00FA505C"/>
    <w:rsid w:val="00FA5F47"/>
    <w:rsid w:val="00FE2798"/>
    <w:rsid w:val="00FF1F07"/>
    <w:rsid w:val="00FF2BA2"/>
    <w:rsid w:val="00FF6180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70DFD"/>
  <w15:chartTrackingRefBased/>
  <w15:docId w15:val="{071E9A8C-4565-4BD5-AEF9-D6006503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1FB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PT" w:bidi="pt-PT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basedOn w:val="DefaultParagraphFont"/>
    <w:link w:val="Bodytext10"/>
    <w:rsid w:val="00751FB4"/>
    <w:rPr>
      <w:sz w:val="20"/>
      <w:szCs w:val="20"/>
      <w:shd w:val="clear" w:color="auto" w:fill="FFFFFF"/>
    </w:rPr>
  </w:style>
  <w:style w:type="character" w:customStyle="1" w:styleId="Heading21">
    <w:name w:val="Heading #2|1_"/>
    <w:basedOn w:val="DefaultParagraphFont"/>
    <w:link w:val="Heading210"/>
    <w:rsid w:val="00751FB4"/>
    <w:rPr>
      <w:b/>
      <w:bCs/>
      <w:sz w:val="20"/>
      <w:szCs w:val="20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751FB4"/>
    <w:pPr>
      <w:shd w:val="clear" w:color="auto" w:fill="FFFFFF"/>
      <w:spacing w:after="240" w:line="262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val="en-US" w:eastAsia="en-US" w:bidi="ar-SA"/>
      <w14:ligatures w14:val="standardContextual"/>
    </w:rPr>
  </w:style>
  <w:style w:type="paragraph" w:customStyle="1" w:styleId="Heading210">
    <w:name w:val="Heading #2|1"/>
    <w:basedOn w:val="Normal"/>
    <w:link w:val="Heading21"/>
    <w:rsid w:val="00751FB4"/>
    <w:pPr>
      <w:shd w:val="clear" w:color="auto" w:fill="FFFFFF"/>
      <w:spacing w:after="240" w:line="257" w:lineRule="auto"/>
      <w:jc w:val="center"/>
      <w:outlineLvl w:val="1"/>
    </w:pPr>
    <w:rPr>
      <w:rFonts w:asciiTheme="minorHAnsi" w:eastAsiaTheme="minorHAnsi" w:hAnsiTheme="minorHAnsi" w:cstheme="minorBidi"/>
      <w:b/>
      <w:bCs/>
      <w:color w:val="auto"/>
      <w:kern w:val="2"/>
      <w:sz w:val="20"/>
      <w:szCs w:val="20"/>
      <w:lang w:val="en-US" w:eastAsia="en-US" w:bidi="ar-SA"/>
      <w14:ligatures w14:val="standardContextual"/>
    </w:rPr>
  </w:style>
  <w:style w:type="paragraph" w:styleId="ListParagraph">
    <w:name w:val="List Paragraph"/>
    <w:basedOn w:val="Normal"/>
    <w:uiPriority w:val="34"/>
    <w:qFormat/>
    <w:rsid w:val="00751F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1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FB4"/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PT" w:bidi="pt-PT"/>
      <w14:ligatures w14:val="none"/>
    </w:rPr>
  </w:style>
  <w:style w:type="paragraph" w:customStyle="1" w:styleId="Default">
    <w:name w:val="Default"/>
    <w:rsid w:val="007106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7E64C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PT" w:bidi="pt-PT"/>
      <w14:ligatures w14:val="none"/>
    </w:rPr>
  </w:style>
  <w:style w:type="table" w:styleId="TableGrid">
    <w:name w:val="Table Grid"/>
    <w:basedOn w:val="TableNormal"/>
    <w:uiPriority w:val="39"/>
    <w:rsid w:val="0017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32A"/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PT" w:bidi="pt-PT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32"/>
    <w:rPr>
      <w:rFonts w:ascii="Segoe UI" w:eastAsia="Times New Roman" w:hAnsi="Segoe UI" w:cs="Segoe UI"/>
      <w:color w:val="000000"/>
      <w:kern w:val="0"/>
      <w:sz w:val="18"/>
      <w:szCs w:val="18"/>
      <w:lang w:val="pt-PT" w:eastAsia="pt-PT" w:bidi="pt-PT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E1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C0E"/>
    <w:rPr>
      <w:rFonts w:ascii="Times New Roman" w:eastAsia="Times New Roman" w:hAnsi="Times New Roman" w:cs="Times New Roman"/>
      <w:color w:val="000000"/>
      <w:kern w:val="0"/>
      <w:sz w:val="20"/>
      <w:szCs w:val="20"/>
      <w:lang w:val="pt-PT" w:eastAsia="pt-PT" w:bidi="pt-PT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C0E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pt-PT" w:eastAsia="pt-PT" w:bidi="pt-PT"/>
      <w14:ligatures w14:val="none"/>
    </w:rPr>
  </w:style>
  <w:style w:type="character" w:styleId="Hyperlink">
    <w:name w:val="Hyperlink"/>
    <w:basedOn w:val="DefaultParagraphFont"/>
    <w:uiPriority w:val="99"/>
    <w:unhideWhenUsed/>
    <w:rsid w:val="005750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50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5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as.tivana@yahoo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.ceafsn@uem.m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eafsn.uem.m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8EB1A-F343-4CA8-B5A1-E085ED55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Nuvunga</dc:creator>
  <cp:keywords/>
  <dc:description/>
  <cp:lastModifiedBy>Ernesto Nhatsumbo</cp:lastModifiedBy>
  <cp:revision>3</cp:revision>
  <dcterms:created xsi:type="dcterms:W3CDTF">2024-11-03T08:46:00Z</dcterms:created>
  <dcterms:modified xsi:type="dcterms:W3CDTF">2024-11-11T13:49:00Z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-209895474</vt:i4>
  </property>
  <property fmtid="{D5CDD505-2E9C-101B-9397-08002B2CF9AE}" pid="3" name="GrammarlyDocumentId">
    <vt:lpwstr>14fe3c6d09ebc355cdd70257b6817bc8f61df4e8f9d216e586793cced8b85bf3</vt:lpwstr>
  </property>
</Properties>
</file>